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27B24F34" w:rsidR="00F110CD" w:rsidRPr="00C84F38" w:rsidRDefault="00F110CD" w:rsidP="00F110CD">
      <w:pPr>
        <w:pStyle w:val="Header"/>
        <w:tabs>
          <w:tab w:val="right" w:pos="9639"/>
        </w:tabs>
        <w:rPr>
          <w:bCs/>
          <w:noProof w:val="0"/>
          <w:sz w:val="24"/>
          <w:szCs w:val="24"/>
        </w:rPr>
      </w:pPr>
      <w:bookmarkStart w:id="0" w:name="_GoBack"/>
      <w:bookmarkEnd w:id="0"/>
      <w:r w:rsidRPr="00C84F38">
        <w:rPr>
          <w:bCs/>
          <w:noProof w:val="0"/>
          <w:sz w:val="24"/>
          <w:szCs w:val="24"/>
        </w:rPr>
        <w:t>3GPP TSG RA</w:t>
      </w:r>
      <w:r w:rsidR="00BA1872">
        <w:rPr>
          <w:bCs/>
          <w:noProof w:val="0"/>
          <w:sz w:val="24"/>
          <w:szCs w:val="24"/>
        </w:rPr>
        <w:t xml:space="preserve">N WG1 </w:t>
      </w:r>
      <w:r w:rsidR="00A33344">
        <w:rPr>
          <w:bCs/>
          <w:noProof w:val="0"/>
          <w:sz w:val="24"/>
          <w:szCs w:val="24"/>
        </w:rPr>
        <w:t>#96</w:t>
      </w:r>
      <w:r w:rsidR="001348FE">
        <w:rPr>
          <w:bCs/>
          <w:noProof w:val="0"/>
          <w:sz w:val="24"/>
          <w:szCs w:val="24"/>
        </w:rPr>
        <w:tab/>
      </w:r>
      <w:r w:rsidR="00BA1872" w:rsidRPr="00B21C2C">
        <w:rPr>
          <w:bCs/>
          <w:noProof w:val="0"/>
          <w:sz w:val="24"/>
          <w:szCs w:val="24"/>
        </w:rPr>
        <w:t>R1-</w:t>
      </w:r>
      <w:r w:rsidR="00E16715" w:rsidRPr="00B21C2C">
        <w:rPr>
          <w:bCs/>
          <w:noProof w:val="0"/>
          <w:sz w:val="24"/>
          <w:szCs w:val="24"/>
        </w:rPr>
        <w:t>190</w:t>
      </w:r>
      <w:r w:rsidR="00410F06">
        <w:rPr>
          <w:bCs/>
          <w:noProof w:val="0"/>
          <w:sz w:val="24"/>
          <w:szCs w:val="24"/>
        </w:rPr>
        <w:t>2426</w:t>
      </w:r>
    </w:p>
    <w:p w14:paraId="30E02940" w14:textId="1146E319" w:rsidR="00CA26CE" w:rsidRDefault="00A33344" w:rsidP="00CA26CE">
      <w:pPr>
        <w:pStyle w:val="Header"/>
        <w:rPr>
          <w:bCs/>
          <w:noProof w:val="0"/>
          <w:sz w:val="24"/>
          <w:szCs w:val="24"/>
        </w:rPr>
      </w:pPr>
      <w:r>
        <w:rPr>
          <w:bCs/>
          <w:noProof w:val="0"/>
          <w:sz w:val="24"/>
          <w:szCs w:val="24"/>
        </w:rPr>
        <w:t>Athens</w:t>
      </w:r>
      <w:r w:rsidR="00BA1872">
        <w:rPr>
          <w:bCs/>
          <w:noProof w:val="0"/>
          <w:sz w:val="24"/>
          <w:szCs w:val="24"/>
        </w:rPr>
        <w:t xml:space="preserve">, </w:t>
      </w:r>
      <w:r>
        <w:rPr>
          <w:bCs/>
          <w:noProof w:val="0"/>
          <w:sz w:val="24"/>
          <w:szCs w:val="24"/>
        </w:rPr>
        <w:t>Greece</w:t>
      </w:r>
      <w:r w:rsidR="00BA1872">
        <w:rPr>
          <w:bCs/>
          <w:noProof w:val="0"/>
          <w:sz w:val="24"/>
          <w:szCs w:val="24"/>
        </w:rPr>
        <w:t>, 2</w:t>
      </w:r>
      <w:r>
        <w:rPr>
          <w:bCs/>
          <w:noProof w:val="0"/>
          <w:sz w:val="24"/>
          <w:szCs w:val="24"/>
        </w:rPr>
        <w:t>5</w:t>
      </w:r>
      <w:r w:rsidR="00BA1872" w:rsidRPr="00BA1872">
        <w:rPr>
          <w:bCs/>
          <w:noProof w:val="0"/>
          <w:sz w:val="24"/>
          <w:szCs w:val="24"/>
          <w:vertAlign w:val="superscript"/>
        </w:rPr>
        <w:t>t</w:t>
      </w:r>
      <w:r>
        <w:rPr>
          <w:bCs/>
          <w:noProof w:val="0"/>
          <w:sz w:val="24"/>
          <w:szCs w:val="24"/>
          <w:vertAlign w:val="superscript"/>
        </w:rPr>
        <w:t>h</w:t>
      </w:r>
      <w:r w:rsidR="00BA1872">
        <w:rPr>
          <w:bCs/>
          <w:noProof w:val="0"/>
          <w:sz w:val="24"/>
          <w:szCs w:val="24"/>
        </w:rPr>
        <w:t xml:space="preserve"> </w:t>
      </w:r>
      <w:r>
        <w:rPr>
          <w:bCs/>
          <w:noProof w:val="0"/>
          <w:sz w:val="24"/>
          <w:szCs w:val="24"/>
        </w:rPr>
        <w:t xml:space="preserve">February </w:t>
      </w:r>
      <w:r w:rsidR="00BA1872">
        <w:rPr>
          <w:bCs/>
          <w:noProof w:val="0"/>
          <w:sz w:val="24"/>
          <w:szCs w:val="24"/>
        </w:rPr>
        <w:t xml:space="preserve">– </w:t>
      </w:r>
      <w:r>
        <w:rPr>
          <w:bCs/>
          <w:noProof w:val="0"/>
          <w:sz w:val="24"/>
          <w:szCs w:val="24"/>
        </w:rPr>
        <w:t>1</w:t>
      </w:r>
      <w:r>
        <w:rPr>
          <w:bCs/>
          <w:noProof w:val="0"/>
          <w:sz w:val="24"/>
          <w:szCs w:val="24"/>
          <w:vertAlign w:val="superscript"/>
        </w:rPr>
        <w:t>st</w:t>
      </w:r>
      <w:r w:rsidR="00BA1872">
        <w:rPr>
          <w:bCs/>
          <w:noProof w:val="0"/>
          <w:sz w:val="24"/>
          <w:szCs w:val="24"/>
        </w:rPr>
        <w:t xml:space="preserve"> </w:t>
      </w:r>
      <w:r>
        <w:rPr>
          <w:bCs/>
          <w:noProof w:val="0"/>
          <w:sz w:val="24"/>
          <w:szCs w:val="24"/>
        </w:rPr>
        <w:t>March</w:t>
      </w:r>
      <w:r w:rsidR="00BA1872">
        <w:rPr>
          <w:bCs/>
          <w:noProof w:val="0"/>
          <w:sz w:val="24"/>
          <w:szCs w:val="24"/>
        </w:rPr>
        <w:t>, 2019</w:t>
      </w:r>
    </w:p>
    <w:p w14:paraId="2CFE1919" w14:textId="77777777" w:rsidR="00850D96" w:rsidRPr="00A33344" w:rsidRDefault="00850D96" w:rsidP="00CA26CE">
      <w:pPr>
        <w:pStyle w:val="Header"/>
        <w:rPr>
          <w:bCs/>
          <w:noProof w:val="0"/>
          <w:sz w:val="24"/>
          <w:lang w:eastAsia="ja-JP"/>
        </w:rPr>
      </w:pPr>
    </w:p>
    <w:p w14:paraId="30E02941" w14:textId="6E32ED4E"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0B4207" w:rsidRPr="00BD2F13">
        <w:rPr>
          <w:rFonts w:cs="Arial"/>
          <w:b/>
          <w:bCs/>
          <w:sz w:val="24"/>
          <w:szCs w:val="24"/>
        </w:rPr>
        <w:t>7</w:t>
      </w:r>
      <w:r w:rsidR="0052773A" w:rsidRPr="00BD2F13">
        <w:rPr>
          <w:rFonts w:cs="Arial"/>
          <w:b/>
          <w:bCs/>
          <w:sz w:val="24"/>
          <w:szCs w:val="24"/>
        </w:rPr>
        <w:t>.</w:t>
      </w:r>
      <w:r w:rsidR="00BA1872">
        <w:rPr>
          <w:rFonts w:cs="Arial"/>
          <w:b/>
          <w:bCs/>
          <w:sz w:val="24"/>
          <w:szCs w:val="24"/>
        </w:rPr>
        <w:t>2</w:t>
      </w:r>
      <w:r w:rsidR="00236F39">
        <w:rPr>
          <w:rFonts w:cs="Arial"/>
          <w:b/>
          <w:bCs/>
          <w:sz w:val="24"/>
          <w:szCs w:val="24"/>
        </w:rPr>
        <w:t>.13.1</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6AA975E5"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5B0D4A">
        <w:rPr>
          <w:rFonts w:ascii="Arial" w:hAnsi="Arial" w:cs="Arial"/>
          <w:b/>
          <w:bCs/>
          <w:sz w:val="24"/>
        </w:rPr>
        <w:t>Uplink PC for NR-NR Dual Connectivity</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48253AEB" w:rsidR="00ED1327" w:rsidRPr="00ED1327" w:rsidRDefault="00EE7FA7" w:rsidP="00ED1327">
      <w:pPr>
        <w:pStyle w:val="Heading1"/>
      </w:pPr>
      <w:r w:rsidRPr="0016316A">
        <w:t>Introduction</w:t>
      </w:r>
    </w:p>
    <w:p w14:paraId="702301FD" w14:textId="1490D169" w:rsidR="00B158E6" w:rsidRDefault="00801D7F" w:rsidP="00A64A6E">
      <w:bookmarkStart w:id="1" w:name="_Hlk510705081"/>
      <w:r>
        <w:t xml:space="preserve">RAN1 NR ad-hoc, in January, made agreements on the scope of discussion as below. </w:t>
      </w:r>
    </w:p>
    <w:p w14:paraId="712EBE65" w14:textId="77777777" w:rsidR="00801D7F" w:rsidRPr="00905DA4" w:rsidRDefault="00801D7F" w:rsidP="00801D7F">
      <w:pPr>
        <w:rPr>
          <w:lang w:eastAsia="x-none"/>
        </w:rPr>
      </w:pPr>
      <w:r w:rsidRPr="00905DA4">
        <w:rPr>
          <w:highlight w:val="green"/>
          <w:lang w:eastAsia="x-none"/>
        </w:rPr>
        <w:t>Agreements</w:t>
      </w:r>
      <w:r w:rsidRPr="00905DA4">
        <w:rPr>
          <w:lang w:eastAsia="x-none"/>
        </w:rPr>
        <w:t>:</w:t>
      </w:r>
    </w:p>
    <w:p w14:paraId="294B1EEE" w14:textId="77777777" w:rsidR="00801D7F" w:rsidRPr="00905DA4" w:rsidRDefault="00801D7F" w:rsidP="00801D7F">
      <w:pPr>
        <w:numPr>
          <w:ilvl w:val="0"/>
          <w:numId w:val="24"/>
        </w:numPr>
        <w:overflowPunct/>
        <w:autoSpaceDE/>
        <w:autoSpaceDN/>
        <w:adjustRightInd/>
        <w:spacing w:after="0"/>
        <w:textAlignment w:val="auto"/>
      </w:pPr>
      <w:r w:rsidRPr="00905DA4">
        <w:t>For Rel. 16 UEs and asynchronous NN-DC operation, where MCG has serving cells only in FR1 and the SCG has serving cells only in FR2, the uplink power control is performed independently across cell groups</w:t>
      </w:r>
    </w:p>
    <w:p w14:paraId="41EE5C37" w14:textId="77777777" w:rsidR="00801D7F" w:rsidRPr="00905DA4" w:rsidRDefault="00801D7F" w:rsidP="00801D7F">
      <w:pPr>
        <w:numPr>
          <w:ilvl w:val="1"/>
          <w:numId w:val="24"/>
        </w:numPr>
        <w:overflowPunct/>
        <w:autoSpaceDE/>
        <w:autoSpaceDN/>
        <w:adjustRightInd/>
        <w:spacing w:after="0"/>
        <w:textAlignment w:val="auto"/>
      </w:pPr>
      <w:r w:rsidRPr="00905DA4">
        <w:t>This is under the assumption that for NR Rel. 16, no joint power limit across FR1 and FR2 is defined by RAN4.</w:t>
      </w:r>
    </w:p>
    <w:p w14:paraId="705475F5" w14:textId="77777777" w:rsidR="00801D7F" w:rsidRPr="00905DA4" w:rsidRDefault="00801D7F" w:rsidP="00801D7F">
      <w:pPr>
        <w:numPr>
          <w:ilvl w:val="0"/>
          <w:numId w:val="24"/>
        </w:numPr>
        <w:overflowPunct/>
        <w:autoSpaceDE/>
        <w:autoSpaceDN/>
        <w:adjustRightInd/>
        <w:spacing w:after="0"/>
        <w:textAlignment w:val="auto"/>
      </w:pPr>
      <w:r w:rsidRPr="00905DA4">
        <w:t xml:space="preserve">RAN1 has not identified any use case to support the case where SCG is fully in FR1 and MCG is fully in FR2 for both synchronous &amp; asynchronous NN-DC operation. At the same time, if supported, RAN1 has not identified other RAN1 specification impact other than the power control aspect listed below and UE capability </w:t>
      </w:r>
    </w:p>
    <w:p w14:paraId="733E18E2" w14:textId="77777777" w:rsidR="00801D7F" w:rsidRPr="00905DA4" w:rsidRDefault="00801D7F" w:rsidP="00801D7F">
      <w:pPr>
        <w:numPr>
          <w:ilvl w:val="1"/>
          <w:numId w:val="24"/>
        </w:numPr>
        <w:overflowPunct/>
        <w:autoSpaceDE/>
        <w:autoSpaceDN/>
        <w:adjustRightInd/>
        <w:spacing w:after="0"/>
        <w:textAlignment w:val="auto"/>
      </w:pPr>
      <w:r w:rsidRPr="00905DA4">
        <w:t>If supported, power control is performed independently across the two cell groups.</w:t>
      </w:r>
    </w:p>
    <w:p w14:paraId="5C4EFDFF" w14:textId="2BDBCEF5" w:rsidR="00801D7F" w:rsidRDefault="00801D7F" w:rsidP="00A64A6E"/>
    <w:p w14:paraId="2A9F5DDA" w14:textId="2F7E5DBE" w:rsidR="001E4C9C" w:rsidRDefault="00754F21" w:rsidP="00A64A6E">
      <w:r>
        <w:rPr>
          <w:rFonts w:hint="eastAsia"/>
        </w:rPr>
        <w:t>I</w:t>
      </w:r>
      <w:r>
        <w:t xml:space="preserve">n this contribution, we discuss power control for synchtonous/asynchronous NN-DC where MCG and SCG are in the same FR. </w:t>
      </w:r>
    </w:p>
    <w:p w14:paraId="09732B88" w14:textId="57D561DC" w:rsidR="00AA7871" w:rsidRPr="001E4C9C" w:rsidRDefault="00AA7871" w:rsidP="00A64A6E"/>
    <w:bookmarkEnd w:id="1"/>
    <w:p w14:paraId="0689E315" w14:textId="3CCB2D4E" w:rsidR="004741F0" w:rsidRDefault="00BF0ED3" w:rsidP="00885580">
      <w:pPr>
        <w:pStyle w:val="Heading1"/>
      </w:pPr>
      <w:r>
        <w:t>Discussion</w:t>
      </w:r>
    </w:p>
    <w:p w14:paraId="3C5EB6A6" w14:textId="3FCFA2D9" w:rsidR="00803198" w:rsidRDefault="00803198" w:rsidP="00803198">
      <w:pPr>
        <w:ind w:firstLineChars="50" w:firstLine="100"/>
      </w:pPr>
      <w:r>
        <w:rPr>
          <w:rFonts w:hint="eastAsia"/>
        </w:rPr>
        <w:t xml:space="preserve">In CA/DC </w:t>
      </w:r>
      <w:r>
        <w:t xml:space="preserve">operation, Rel-15 defined both dynamic and semi-persistent power sharing between LTE connection and NR connection. In a late drop of Rel-15 and early of Rel-16, RAN1 agreed on no specification impact to support NN DC where MCG lays on FR1 and SCG lays on FR2. As captured in WID, for NN-DC in the same FR, RAN1 agreed to mostly reuse LTE CA power control algorithm and the prioritization rule agreed in NR Rel-15. </w:t>
      </w:r>
    </w:p>
    <w:p w14:paraId="1891DA18" w14:textId="197B9033" w:rsidR="00803198" w:rsidRDefault="00803198" w:rsidP="00803198">
      <w:pPr>
        <w:ind w:firstLineChars="50" w:firstLine="100"/>
      </w:pPr>
      <w:r>
        <w:t xml:space="preserve">In all the discussion above, power control of DC was composed by two separated part, inter-CG power sharing and power control within each CG. In rel-16, the same concept may valid to simplify the discussion, and the details on power sharing should be discussed in this A.I. The details on power control within each CG should be discussed in the other A.I., if discussion needed. </w:t>
      </w:r>
    </w:p>
    <w:p w14:paraId="25DFD17B" w14:textId="0B4BBB5B" w:rsidR="00803198" w:rsidRDefault="00803198" w:rsidP="00803198">
      <w:r>
        <w:rPr>
          <w:rFonts w:eastAsia="Malgun Gothic"/>
          <w:b/>
          <w:i/>
        </w:rPr>
        <w:t>Proposal</w:t>
      </w:r>
      <w:r w:rsidRPr="008D6277">
        <w:rPr>
          <w:rFonts w:eastAsia="Malgun Gothic" w:hint="eastAsia"/>
          <w:b/>
          <w:i/>
        </w:rPr>
        <w:t xml:space="preserve"> </w:t>
      </w:r>
      <w:r>
        <w:rPr>
          <w:rFonts w:eastAsia="Malgun Gothic"/>
          <w:b/>
          <w:i/>
        </w:rPr>
        <w:t>1</w:t>
      </w:r>
      <w:r w:rsidRPr="008D6277">
        <w:rPr>
          <w:rFonts w:eastAsia="Malgun Gothic"/>
          <w:b/>
          <w:i/>
        </w:rPr>
        <w:t>:</w:t>
      </w:r>
      <w:r>
        <w:rPr>
          <w:rFonts w:eastAsia="Malgun Gothic"/>
          <w:b/>
          <w:i/>
        </w:rPr>
        <w:t xml:space="preserve"> Power control for NN-DC is composed by two separated parts, inter-CG power sharing and separated power control within each CG. </w:t>
      </w:r>
    </w:p>
    <w:p w14:paraId="3E3ACB2E" w14:textId="098676BB" w:rsidR="00803198" w:rsidRDefault="00803198" w:rsidP="00803198">
      <w:pPr>
        <w:ind w:firstLineChars="50" w:firstLine="100"/>
      </w:pPr>
      <w:r>
        <w:t xml:space="preserve">While Rel-15 DC power sharing/control aimed to keep the cell coverage, Rel-16 NN-DC needs to </w:t>
      </w:r>
      <w:r w:rsidR="004311B6">
        <w:t>consider</w:t>
      </w:r>
      <w:r>
        <w:t xml:space="preserve"> </w:t>
      </w:r>
      <w:r w:rsidR="004311B6">
        <w:t xml:space="preserve">more </w:t>
      </w:r>
      <w:r>
        <w:t>various espects</w:t>
      </w:r>
      <w:r w:rsidR="004311B6">
        <w:t xml:space="preserve">. </w:t>
      </w:r>
      <w:r>
        <w:t xml:space="preserve">In NN-DC, specification </w:t>
      </w:r>
      <w:r w:rsidR="004311B6">
        <w:t xml:space="preserve">needs to properly provide </w:t>
      </w:r>
      <w:r>
        <w:t>benefits of utilizing wideband</w:t>
      </w:r>
      <w:r w:rsidR="004311B6">
        <w:t xml:space="preserve">, and the achievement of that goal would highly depend on efficient utilization of UE Tx power, which enables to achieve better overall spectral efficiency or higher UE throughput within limited transmission power. </w:t>
      </w:r>
      <w:r>
        <w:t xml:space="preserve"> </w:t>
      </w:r>
    </w:p>
    <w:p w14:paraId="70917861" w14:textId="66B1064A" w:rsidR="00803198" w:rsidRDefault="00803198" w:rsidP="00803198">
      <w:r>
        <w:rPr>
          <w:rFonts w:eastAsia="Malgun Gothic"/>
          <w:b/>
          <w:i/>
        </w:rPr>
        <w:t>Proposal</w:t>
      </w:r>
      <w:r w:rsidRPr="008D6277">
        <w:rPr>
          <w:rFonts w:eastAsia="Malgun Gothic" w:hint="eastAsia"/>
          <w:b/>
          <w:i/>
        </w:rPr>
        <w:t xml:space="preserve"> </w:t>
      </w:r>
      <w:r>
        <w:rPr>
          <w:rFonts w:eastAsia="Malgun Gothic"/>
          <w:b/>
          <w:i/>
        </w:rPr>
        <w:t>2</w:t>
      </w:r>
      <w:r w:rsidRPr="008D6277">
        <w:rPr>
          <w:rFonts w:eastAsia="Malgun Gothic"/>
          <w:b/>
          <w:i/>
        </w:rPr>
        <w:t>:</w:t>
      </w:r>
      <w:r>
        <w:rPr>
          <w:rFonts w:eastAsia="Malgun Gothic"/>
          <w:b/>
          <w:i/>
        </w:rPr>
        <w:t xml:space="preserve"> Performance comparison between different power sharing schemes should be done based on various espects including features related with the efficiency of power utilization</w:t>
      </w:r>
      <w:r w:rsidR="009A6A14">
        <w:rPr>
          <w:rFonts w:eastAsia="Malgun Gothic"/>
          <w:b/>
          <w:i/>
        </w:rPr>
        <w:t xml:space="preserve"> such as supported UE throughput. </w:t>
      </w:r>
      <w:r>
        <w:rPr>
          <w:rFonts w:eastAsia="Malgun Gothic"/>
          <w:b/>
          <w:i/>
        </w:rPr>
        <w:t xml:space="preserve"> </w:t>
      </w:r>
    </w:p>
    <w:p w14:paraId="324777D5" w14:textId="7ACCFEB7" w:rsidR="00803198" w:rsidRPr="00803198" w:rsidRDefault="00803198" w:rsidP="00E35679"/>
    <w:p w14:paraId="2554B89B" w14:textId="77777777" w:rsidR="00803198" w:rsidRPr="00900900" w:rsidRDefault="00803198" w:rsidP="00E35679"/>
    <w:p w14:paraId="025063BD" w14:textId="696D7461" w:rsidR="00E35679" w:rsidRDefault="009C2616" w:rsidP="00E35679">
      <w:pPr>
        <w:pStyle w:val="Heading2"/>
      </w:pPr>
      <w:r>
        <w:lastRenderedPageBreak/>
        <w:t xml:space="preserve">Power sharing options </w:t>
      </w:r>
    </w:p>
    <w:p w14:paraId="284884EB" w14:textId="5068E65A" w:rsidR="009C2616" w:rsidRDefault="009A6A14" w:rsidP="009A6A14">
      <w:pPr>
        <w:ind w:firstLineChars="50" w:firstLine="100"/>
        <w:rPr>
          <w:lang w:val="en-US"/>
        </w:rPr>
      </w:pPr>
      <w:r>
        <w:rPr>
          <w:lang w:val="en-US"/>
        </w:rPr>
        <w:t xml:space="preserve">In the history of the discussion, several companies showed their concerns on the implementational complexity due to inter-connection/CG power sharing. Since RAN1 agreed to focus on the scenario where MCG and SCG are in the same band, the complexity issue should be carefully </w:t>
      </w:r>
      <w:r w:rsidR="00811BEA">
        <w:rPr>
          <w:lang w:val="en-US"/>
        </w:rPr>
        <w:t xml:space="preserve">checked again. </w:t>
      </w:r>
      <w:r>
        <w:rPr>
          <w:lang w:val="en-US"/>
        </w:rPr>
        <w:t>Based on the complexity of UE side implementation, power sharing schemes can be categorized as below.</w:t>
      </w:r>
    </w:p>
    <w:p w14:paraId="6CC7B898" w14:textId="4501966E" w:rsidR="00811BEA" w:rsidRDefault="00811BEA" w:rsidP="009A6A14">
      <w:pPr>
        <w:ind w:firstLineChars="50" w:firstLine="100"/>
        <w:rPr>
          <w:b/>
          <w:i/>
          <w:lang w:val="en-US"/>
        </w:rPr>
      </w:pPr>
    </w:p>
    <w:p w14:paraId="1362B1AA" w14:textId="66E649AC" w:rsidR="00811BEA" w:rsidRPr="009C2616" w:rsidRDefault="00811BEA" w:rsidP="00811BEA">
      <w:pPr>
        <w:rPr>
          <w:b/>
          <w:u w:val="single"/>
          <w:lang w:val="en-US"/>
        </w:rPr>
      </w:pPr>
      <w:r>
        <w:rPr>
          <w:b/>
          <w:sz w:val="22"/>
          <w:u w:val="single"/>
          <w:lang w:val="en-US"/>
        </w:rPr>
        <w:t>Semi-persistnet power sharing w</w:t>
      </w:r>
      <w:r w:rsidR="00335C4C">
        <w:rPr>
          <w:b/>
          <w:sz w:val="22"/>
          <w:u w:val="single"/>
          <w:lang w:val="en-US"/>
        </w:rPr>
        <w:t xml:space="preserve">here the </w:t>
      </w:r>
      <w:r>
        <w:rPr>
          <w:b/>
          <w:sz w:val="22"/>
          <w:u w:val="single"/>
          <w:lang w:val="en-US"/>
        </w:rPr>
        <w:t xml:space="preserve">maximum transmission power </w:t>
      </w:r>
      <w:r w:rsidR="00335C4C">
        <w:rPr>
          <w:b/>
          <w:sz w:val="22"/>
          <w:u w:val="single"/>
          <w:lang w:val="en-US"/>
        </w:rPr>
        <w:t xml:space="preserve">is </w:t>
      </w:r>
      <w:r w:rsidR="00287E83">
        <w:rPr>
          <w:b/>
          <w:sz w:val="22"/>
          <w:u w:val="single"/>
          <w:lang w:val="en-US"/>
        </w:rPr>
        <w:t>configured</w:t>
      </w:r>
      <w:r w:rsidR="00335C4C">
        <w:rPr>
          <w:b/>
          <w:sz w:val="22"/>
          <w:u w:val="single"/>
          <w:lang w:val="en-US"/>
        </w:rPr>
        <w:t xml:space="preserve"> </w:t>
      </w:r>
      <w:r>
        <w:rPr>
          <w:b/>
          <w:sz w:val="22"/>
          <w:u w:val="single"/>
          <w:lang w:val="en-US"/>
        </w:rPr>
        <w:t>per CG</w:t>
      </w:r>
    </w:p>
    <w:p w14:paraId="67BC2822" w14:textId="77777777" w:rsidR="00202D92" w:rsidRDefault="00811BEA" w:rsidP="00811BEA">
      <w:pPr>
        <w:ind w:firstLineChars="50" w:firstLine="100"/>
        <w:rPr>
          <w:lang w:val="en-US"/>
        </w:rPr>
      </w:pPr>
      <w:r>
        <w:rPr>
          <w:lang w:val="en-US"/>
        </w:rPr>
        <w:t xml:space="preserve">If maximum transmission power is </w:t>
      </w:r>
      <w:r w:rsidR="00335C4C">
        <w:rPr>
          <w:lang w:val="en-US"/>
        </w:rPr>
        <w:t>fixed by RRC configuration</w:t>
      </w:r>
      <w:r>
        <w:rPr>
          <w:lang w:val="en-US"/>
        </w:rPr>
        <w:t xml:space="preserve"> per CG, and the sum of maximum transmission power does not exceed UE’s capable Tx power, it can be called semi-persistent power sharing scheme. </w:t>
      </w:r>
      <w:r w:rsidR="00287E83">
        <w:rPr>
          <w:lang w:val="en-US"/>
        </w:rPr>
        <w:t xml:space="preserve">To make semi-persistent power sharing scheme valid in NN-DC, gNb would need to carefully manage maximum transmission power of each CG based on channel condition, traffic load, etc. </w:t>
      </w:r>
    </w:p>
    <w:p w14:paraId="7EDCB60A" w14:textId="1C604384" w:rsidR="00287E83" w:rsidRDefault="00287E83" w:rsidP="00811BEA">
      <w:pPr>
        <w:ind w:firstLineChars="50" w:firstLine="100"/>
        <w:rPr>
          <w:lang w:val="en-US"/>
        </w:rPr>
      </w:pPr>
      <w:r>
        <w:rPr>
          <w:lang w:val="en-US"/>
        </w:rPr>
        <w:t>When a fixed value of maximum transmission power is configured per CG, for example, gNb would configure larger value of maximum transmission power for CG reporting relatively high L3-RSRP with the intention of achieving good UE throughput, or as an opposite example, gNb would configure lager value of maximum transmission power for CG reporting more pathloss, to guarantee the minimum required performance, possibly given as throughput or coverage. But in any case of above examples, the benefits of NN-DC would be limited</w:t>
      </w:r>
      <w:r w:rsidR="00202D92">
        <w:rPr>
          <w:lang w:val="en-US"/>
        </w:rPr>
        <w:t xml:space="preserve">, since at any CGm UE would be suffered by lack of transmission power, unless UE is located near the gNb. </w:t>
      </w:r>
    </w:p>
    <w:p w14:paraId="4C468A45" w14:textId="2EC2A8B6" w:rsidR="00811BEA" w:rsidRDefault="00202D92" w:rsidP="00811BEA">
      <w:pPr>
        <w:ind w:firstLineChars="50" w:firstLine="100"/>
        <w:rPr>
          <w:lang w:val="en-US"/>
        </w:rPr>
      </w:pPr>
      <w:r>
        <w:rPr>
          <w:rFonts w:hint="eastAsia"/>
          <w:lang w:val="en-US"/>
        </w:rPr>
        <w:t>W</w:t>
      </w:r>
      <w:r>
        <w:rPr>
          <w:lang w:val="en-US"/>
        </w:rPr>
        <w:t>ith a TDM pattern based configuration where different value of maximum transmission power is configured per CG in a different slot,</w:t>
      </w:r>
      <w:r w:rsidR="00FB5E1E">
        <w:rPr>
          <w:lang w:val="en-US"/>
        </w:rPr>
        <w:t xml:space="preserve"> if TDM pattern is well aligned with gNb scheduling, better performances are expected than the case of fixed maximum transmission power in slots. However, due to the HARQ timing, difference of numerology, UL asynchronization etc, such alignment would be possible in a limited cases. </w:t>
      </w:r>
    </w:p>
    <w:p w14:paraId="1A410459" w14:textId="01DAE499" w:rsidR="00F95BD0" w:rsidRDefault="00F95BD0" w:rsidP="00811BEA">
      <w:pPr>
        <w:ind w:firstLineChars="50" w:firstLine="100"/>
        <w:rPr>
          <w:b/>
          <w:i/>
          <w:lang w:val="en-US"/>
        </w:rPr>
      </w:pPr>
      <w:r>
        <w:rPr>
          <w:rFonts w:hint="eastAsia"/>
          <w:b/>
          <w:i/>
          <w:lang w:val="en-US"/>
        </w:rPr>
        <w:t>O</w:t>
      </w:r>
      <w:r>
        <w:rPr>
          <w:b/>
          <w:i/>
          <w:lang w:val="en-US"/>
        </w:rPr>
        <w:t>bservation 1:</w:t>
      </w:r>
      <w:r w:rsidR="00FB5E1E">
        <w:rPr>
          <w:b/>
          <w:i/>
          <w:lang w:val="en-US"/>
        </w:rPr>
        <w:t xml:space="preserve"> With s</w:t>
      </w:r>
      <w:r>
        <w:rPr>
          <w:b/>
          <w:i/>
          <w:lang w:val="en-US"/>
        </w:rPr>
        <w:t>emi-persistent power sharing</w:t>
      </w:r>
      <w:r w:rsidR="00FB5E1E">
        <w:rPr>
          <w:b/>
          <w:i/>
          <w:lang w:val="en-US"/>
        </w:rPr>
        <w:t>, benefits of NN-DC, e.g., utilization of wide bandwidth</w:t>
      </w:r>
      <w:r>
        <w:rPr>
          <w:b/>
          <w:i/>
          <w:lang w:val="en-US"/>
        </w:rPr>
        <w:t xml:space="preserve"> would be </w:t>
      </w:r>
      <w:r w:rsidR="00FB5E1E">
        <w:rPr>
          <w:b/>
          <w:i/>
          <w:lang w:val="en-US"/>
        </w:rPr>
        <w:t>limited in many cases.</w:t>
      </w:r>
      <w:r>
        <w:rPr>
          <w:b/>
          <w:i/>
          <w:lang w:val="en-US"/>
        </w:rPr>
        <w:t>.</w:t>
      </w:r>
    </w:p>
    <w:p w14:paraId="0BBAD89B" w14:textId="6365A082" w:rsidR="00F95BD0" w:rsidRDefault="00F95BD0" w:rsidP="00811BEA">
      <w:pPr>
        <w:ind w:firstLineChars="50" w:firstLine="100"/>
        <w:rPr>
          <w:lang w:val="en-US"/>
        </w:rPr>
      </w:pPr>
      <w:r>
        <w:rPr>
          <w:b/>
          <w:i/>
          <w:lang w:val="en-US"/>
        </w:rPr>
        <w:t>Proposal 3: Semi-persistent power sharing w</w:t>
      </w:r>
      <w:r w:rsidR="00FB5E1E">
        <w:rPr>
          <w:b/>
          <w:i/>
          <w:lang w:val="en-US"/>
        </w:rPr>
        <w:t>here the sum of c</w:t>
      </w:r>
      <w:r>
        <w:rPr>
          <w:b/>
          <w:i/>
          <w:lang w:val="en-US"/>
        </w:rPr>
        <w:t>onfigured maximum transmission power</w:t>
      </w:r>
      <w:r w:rsidR="00FB5E1E">
        <w:rPr>
          <w:b/>
          <w:i/>
          <w:lang w:val="en-US"/>
        </w:rPr>
        <w:t xml:space="preserve"> of CG does not exceed the maximum UE transmission power </w:t>
      </w:r>
      <w:r>
        <w:rPr>
          <w:b/>
          <w:i/>
          <w:lang w:val="en-US"/>
        </w:rPr>
        <w:t>should not be a single solution for NN-DC power sharing, if supported.</w:t>
      </w:r>
    </w:p>
    <w:p w14:paraId="500D1718" w14:textId="213BE2B1" w:rsidR="009C2616" w:rsidRDefault="009C2616" w:rsidP="00E35679">
      <w:pPr>
        <w:rPr>
          <w:b/>
          <w:i/>
          <w:lang w:val="en-US"/>
        </w:rPr>
      </w:pPr>
    </w:p>
    <w:p w14:paraId="11745428" w14:textId="4F9C87A4" w:rsidR="009C2616" w:rsidRDefault="009C2616" w:rsidP="00E35679">
      <w:pPr>
        <w:rPr>
          <w:b/>
          <w:sz w:val="22"/>
          <w:u w:val="single"/>
          <w:lang w:val="en-US"/>
        </w:rPr>
      </w:pPr>
      <w:r>
        <w:rPr>
          <w:b/>
          <w:sz w:val="22"/>
          <w:u w:val="single"/>
          <w:lang w:val="en-US"/>
        </w:rPr>
        <w:t xml:space="preserve">Grant based </w:t>
      </w:r>
      <w:r w:rsidRPr="009C2616">
        <w:rPr>
          <w:b/>
          <w:sz w:val="22"/>
          <w:u w:val="single"/>
          <w:lang w:val="en-US"/>
        </w:rPr>
        <w:t>power sharing</w:t>
      </w:r>
    </w:p>
    <w:p w14:paraId="64B3DA26" w14:textId="1EFEAD85" w:rsidR="00E5540B" w:rsidRPr="00FB5E1E" w:rsidRDefault="00FB5E1E" w:rsidP="00E35679">
      <w:pPr>
        <w:rPr>
          <w:lang w:val="en-US"/>
        </w:rPr>
      </w:pPr>
      <w:r>
        <w:rPr>
          <w:rFonts w:hint="eastAsia"/>
          <w:lang w:val="en-US"/>
        </w:rPr>
        <w:t xml:space="preserve"> </w:t>
      </w:r>
      <w:r>
        <w:rPr>
          <w:lang w:val="en-US"/>
        </w:rPr>
        <w:t xml:space="preserve">Based on UL grant, UE can </w:t>
      </w:r>
      <w:r w:rsidR="00CD5F9E">
        <w:rPr>
          <w:lang w:val="en-US"/>
        </w:rPr>
        <w:t xml:space="preserve">first understand nuber of simultaneous uplink, and also can understand the total transmission power require at each transmission occation, if more details on scheduling information can be shared among CGs. </w:t>
      </w:r>
      <w:r w:rsidR="009A2BB5">
        <w:rPr>
          <w:lang w:val="en-US"/>
        </w:rPr>
        <w:t>As the simpliest way of grant based power sharing, gNb can configure table of maximum transmission power where different values are configured for a given number of simultaneous transmission. When # of CCs are small and simultaneous transmission does not happen frequently, this simple approach can support signicant performance enhancement compared with semi-persistent power sharing</w:t>
      </w:r>
      <w:r w:rsidR="000F1422">
        <w:rPr>
          <w:lang w:val="en-US"/>
        </w:rPr>
        <w:t xml:space="preserve"> even with the setting of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CMAX, MCG</m:t>
            </m:r>
          </m:sub>
        </m:sSub>
        <m:r>
          <w:rPr>
            <w:rFonts w:ascii="Cambria Math" w:hAnsi="Cambria Math"/>
            <w:lang w:val="en-US"/>
          </w:rPr>
          <m:t>+</m:t>
        </m:r>
        <m:r>
          <m:rPr>
            <m:sty m:val="p"/>
          </m:rP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CMAX, SCG</m:t>
            </m:r>
          </m:sub>
        </m:sSub>
        <m:r>
          <w:rPr>
            <w:rFonts w:ascii="Cambria Math" w:hAnsi="Cambria Math"/>
            <w:lang w:val="en-US"/>
          </w:rPr>
          <m:t>≤</m:t>
        </m:r>
        <m:r>
          <m:rPr>
            <m:sty m:val="p"/>
          </m:rP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CMAX</m:t>
            </m:r>
          </m:sub>
        </m:sSub>
      </m:oMath>
      <w:r w:rsidR="000F1422">
        <w:rPr>
          <w:lang w:val="en-US"/>
        </w:rPr>
        <w:t>.</w:t>
      </w:r>
    </w:p>
    <w:p w14:paraId="64419921" w14:textId="2EE61A98" w:rsidR="00E35679" w:rsidRDefault="0045193E" w:rsidP="00E35679">
      <w:pPr>
        <w:rPr>
          <w:lang w:val="en-US"/>
        </w:rPr>
      </w:pPr>
      <w:r>
        <w:rPr>
          <w:rFonts w:hint="eastAsia"/>
          <w:b/>
          <w:i/>
          <w:lang w:val="en-US"/>
        </w:rPr>
        <w:t>O</w:t>
      </w:r>
      <w:r>
        <w:rPr>
          <w:b/>
          <w:i/>
          <w:lang w:val="en-US"/>
        </w:rPr>
        <w:t xml:space="preserve">bservation </w:t>
      </w:r>
      <w:r w:rsidR="005F2658">
        <w:rPr>
          <w:b/>
          <w:i/>
          <w:lang w:val="en-US"/>
        </w:rPr>
        <w:t>2</w:t>
      </w:r>
      <w:r>
        <w:rPr>
          <w:b/>
          <w:i/>
          <w:lang w:val="en-US"/>
        </w:rPr>
        <w:t xml:space="preserve">: By sharing </w:t>
      </w:r>
      <w:r w:rsidR="005F2658">
        <w:rPr>
          <w:b/>
          <w:i/>
          <w:lang w:val="en-US"/>
        </w:rPr>
        <w:t xml:space="preserve">UL </w:t>
      </w:r>
      <w:r>
        <w:rPr>
          <w:b/>
          <w:i/>
          <w:lang w:val="en-US"/>
        </w:rPr>
        <w:t>grant</w:t>
      </w:r>
      <w:r w:rsidR="005F2658">
        <w:rPr>
          <w:b/>
          <w:i/>
          <w:lang w:val="en-US"/>
        </w:rPr>
        <w:t xml:space="preserve"> info</w:t>
      </w:r>
      <w:r>
        <w:rPr>
          <w:b/>
          <w:i/>
          <w:lang w:val="en-US"/>
        </w:rPr>
        <w:t xml:space="preserve"> between CG, UE can increase </w:t>
      </w:r>
      <w:r w:rsidR="005F2658">
        <w:rPr>
          <w:b/>
          <w:i/>
          <w:lang w:val="en-US"/>
        </w:rPr>
        <w:t xml:space="preserve">the </w:t>
      </w:r>
      <w:r>
        <w:rPr>
          <w:b/>
          <w:i/>
          <w:lang w:val="en-US"/>
        </w:rPr>
        <w:t>efficiency of UE power utilization</w:t>
      </w:r>
    </w:p>
    <w:p w14:paraId="349CDA3B" w14:textId="4C971707" w:rsidR="0045193E" w:rsidRDefault="00E5540B" w:rsidP="00E35679">
      <w:pPr>
        <w:rPr>
          <w:b/>
          <w:i/>
          <w:lang w:val="en-US"/>
        </w:rPr>
      </w:pPr>
      <w:r w:rsidRPr="00E5540B">
        <w:rPr>
          <w:rFonts w:hint="eastAsia"/>
          <w:b/>
          <w:i/>
          <w:lang w:val="en-US"/>
        </w:rPr>
        <w:t>P</w:t>
      </w:r>
      <w:r w:rsidRPr="00E5540B">
        <w:rPr>
          <w:b/>
          <w:i/>
          <w:lang w:val="en-US"/>
        </w:rPr>
        <w:t>roposal 4: NR</w:t>
      </w:r>
      <w:r>
        <w:rPr>
          <w:b/>
          <w:i/>
          <w:lang w:val="en-US"/>
        </w:rPr>
        <w:t xml:space="preserve"> Rel-16 supports Power sharing between CGs in the same FR based on UL scheduling information</w:t>
      </w:r>
    </w:p>
    <w:p w14:paraId="59A0A40F" w14:textId="5AF6D70D" w:rsidR="005F2658" w:rsidRDefault="007E7F4A" w:rsidP="007E7F4A">
      <w:pPr>
        <w:ind w:firstLineChars="50" w:firstLine="100"/>
        <w:rPr>
          <w:lang w:val="en-US"/>
        </w:rPr>
      </w:pPr>
      <w:r>
        <w:rPr>
          <w:lang w:val="en-US"/>
        </w:rPr>
        <w:t xml:space="preserve">With grant based power sharing, by applying power prioritization rule, further flexibility on dynamic power sharing can be achieved. As a starting point, we may reuse NR CA power prioritization rule where MCG has higher priority than SCG when the transmission of channel/RS with the same priority happens at both CGs. However, </w:t>
      </w:r>
      <w:r w:rsidR="00D14E3C">
        <w:rPr>
          <w:lang w:val="en-US"/>
        </w:rPr>
        <w:t xml:space="preserve">to support better utilization of UE power, </w:t>
      </w:r>
      <w:r>
        <w:rPr>
          <w:lang w:val="en-US"/>
        </w:rPr>
        <w:t xml:space="preserve">additional rules for power prioritization </w:t>
      </w:r>
      <w:r w:rsidR="00D14E3C">
        <w:rPr>
          <w:lang w:val="en-US"/>
        </w:rPr>
        <w:t xml:space="preserve">could be </w:t>
      </w:r>
      <w:r>
        <w:rPr>
          <w:lang w:val="en-US"/>
        </w:rPr>
        <w:t xml:space="preserve">defined. </w:t>
      </w:r>
    </w:p>
    <w:p w14:paraId="00736D96" w14:textId="23A4ED2A" w:rsidR="005F2658" w:rsidRPr="007E7F4A" w:rsidRDefault="007E7F4A" w:rsidP="00E35679">
      <w:pPr>
        <w:rPr>
          <w:b/>
          <w:i/>
          <w:lang w:val="en-US"/>
        </w:rPr>
      </w:pPr>
      <w:r w:rsidRPr="007E7F4A">
        <w:rPr>
          <w:rFonts w:hint="eastAsia"/>
          <w:b/>
          <w:i/>
          <w:lang w:val="en-US"/>
        </w:rPr>
        <w:t>P</w:t>
      </w:r>
      <w:r w:rsidRPr="007E7F4A">
        <w:rPr>
          <w:b/>
          <w:i/>
          <w:lang w:val="en-US"/>
        </w:rPr>
        <w:t>roposal 5:</w:t>
      </w:r>
      <w:r>
        <w:rPr>
          <w:b/>
          <w:i/>
          <w:lang w:val="en-US"/>
        </w:rPr>
        <w:t xml:space="preserve"> Define NN-DC power prioritization rule by reusing NR CA power prioritization rule with possible additions.</w:t>
      </w:r>
    </w:p>
    <w:p w14:paraId="14A16230" w14:textId="77777777" w:rsidR="005F2658" w:rsidRDefault="005F2658" w:rsidP="00E35679">
      <w:pPr>
        <w:rPr>
          <w:lang w:val="en-US"/>
        </w:rPr>
      </w:pPr>
    </w:p>
    <w:p w14:paraId="4F40E061" w14:textId="328105BB" w:rsidR="009C2616" w:rsidRDefault="00E5540B" w:rsidP="00E35679">
      <w:pPr>
        <w:rPr>
          <w:lang w:val="en-US"/>
        </w:rPr>
      </w:pPr>
      <w:r>
        <w:rPr>
          <w:b/>
          <w:sz w:val="22"/>
          <w:u w:val="single"/>
          <w:lang w:val="en-US"/>
        </w:rPr>
        <w:t>P</w:t>
      </w:r>
      <w:r w:rsidR="009C2616" w:rsidRPr="009C2616">
        <w:rPr>
          <w:b/>
          <w:sz w:val="22"/>
          <w:u w:val="single"/>
          <w:lang w:val="en-US"/>
        </w:rPr>
        <w:t>ower sharing</w:t>
      </w:r>
      <w:r w:rsidR="009C2616">
        <w:rPr>
          <w:b/>
          <w:sz w:val="22"/>
          <w:u w:val="single"/>
          <w:lang w:val="en-US"/>
        </w:rPr>
        <w:t xml:space="preserve"> with look-ahead</w:t>
      </w:r>
    </w:p>
    <w:p w14:paraId="11443DAF" w14:textId="314406CB" w:rsidR="00293485" w:rsidRDefault="007E7F4A" w:rsidP="00F233EF">
      <w:pPr>
        <w:rPr>
          <w:lang w:val="en-US"/>
        </w:rPr>
      </w:pPr>
      <w:r>
        <w:rPr>
          <w:rFonts w:hint="eastAsia"/>
          <w:lang w:val="en-US"/>
        </w:rPr>
        <w:t xml:space="preserve"> </w:t>
      </w:r>
      <w:r w:rsidR="003157E5">
        <w:rPr>
          <w:lang w:val="en-US"/>
        </w:rPr>
        <w:t xml:space="preserve">Due to the difference of numerology, latency between grant and corresponding transmission, or the asynronized DL/UL, UE obtains limited information about simultaneous ULs when grant is received. During Rel-15, the problem </w:t>
      </w:r>
      <w:r w:rsidR="003157E5">
        <w:rPr>
          <w:lang w:val="en-US"/>
        </w:rPr>
        <w:lastRenderedPageBreak/>
        <w:t>with such limited information and the benefits of look-ahead for UL grant has been introduced and well discussed. In Rel-16, the proper duration of look-ahead needs to be studied</w:t>
      </w:r>
    </w:p>
    <w:p w14:paraId="19C56F51" w14:textId="3B837808" w:rsidR="003157E5" w:rsidRPr="00293485" w:rsidRDefault="003157E5" w:rsidP="00F233EF">
      <w:pPr>
        <w:rPr>
          <w:b/>
          <w:i/>
          <w:lang w:val="en-US"/>
        </w:rPr>
      </w:pPr>
      <w:r>
        <w:rPr>
          <w:rFonts w:hint="eastAsia"/>
          <w:b/>
          <w:i/>
          <w:lang w:val="en-US"/>
        </w:rPr>
        <w:t>P</w:t>
      </w:r>
      <w:r>
        <w:rPr>
          <w:b/>
          <w:i/>
          <w:lang w:val="en-US"/>
        </w:rPr>
        <w:t>roposal 6: Rel-16 aims to find the propoer duration where UE looks ahead for UL grant deliverying simultaneous ULs.</w:t>
      </w:r>
    </w:p>
    <w:p w14:paraId="346C1665" w14:textId="77777777" w:rsidR="00293485" w:rsidRPr="004741F0" w:rsidRDefault="00293485" w:rsidP="00F233EF">
      <w:pPr>
        <w:rPr>
          <w:lang w:val="en-US"/>
        </w:rPr>
      </w:pPr>
    </w:p>
    <w:p w14:paraId="3489BE20" w14:textId="531F6E18" w:rsidR="00724A3D" w:rsidRDefault="00724A3D" w:rsidP="00724A3D">
      <w:pPr>
        <w:pStyle w:val="Heading1"/>
      </w:pPr>
      <w:r>
        <w:t>Conclusion</w:t>
      </w:r>
    </w:p>
    <w:p w14:paraId="65461410" w14:textId="45C0BB55" w:rsidR="004741F0" w:rsidRDefault="003157E5" w:rsidP="004741F0">
      <w:pPr>
        <w:rPr>
          <w:lang w:val="en-US"/>
        </w:rPr>
      </w:pPr>
      <w:r>
        <w:rPr>
          <w:lang w:val="en-US"/>
        </w:rPr>
        <w:t xml:space="preserve">Based on the discussion history and the observations below, proposals are suggest for the design of NN-DC power control. </w:t>
      </w:r>
    </w:p>
    <w:p w14:paraId="4AE053F6" w14:textId="0FE645D2" w:rsidR="003157E5" w:rsidRDefault="003157E5" w:rsidP="004741F0">
      <w:pPr>
        <w:rPr>
          <w:rFonts w:eastAsia="Malgun Gothic"/>
          <w:b/>
          <w:i/>
        </w:rPr>
      </w:pPr>
      <w:r>
        <w:rPr>
          <w:rFonts w:hint="eastAsia"/>
          <w:b/>
          <w:i/>
          <w:lang w:val="en-US"/>
        </w:rPr>
        <w:t>O</w:t>
      </w:r>
      <w:r>
        <w:rPr>
          <w:b/>
          <w:i/>
          <w:lang w:val="en-US"/>
        </w:rPr>
        <w:t>bservation 1: With semi-persistent power sharing, benefits of NN-DC, e.g., utilization of wide bandwidth would be limited in many cases.</w:t>
      </w:r>
    </w:p>
    <w:p w14:paraId="34850898" w14:textId="6B34A25B" w:rsidR="003157E5" w:rsidRDefault="003157E5" w:rsidP="004741F0">
      <w:pPr>
        <w:rPr>
          <w:rFonts w:eastAsia="Malgun Gothic"/>
          <w:b/>
          <w:i/>
        </w:rPr>
      </w:pPr>
      <w:r>
        <w:rPr>
          <w:rFonts w:hint="eastAsia"/>
          <w:b/>
          <w:i/>
          <w:lang w:val="en-US"/>
        </w:rPr>
        <w:t>O</w:t>
      </w:r>
      <w:r>
        <w:rPr>
          <w:b/>
          <w:i/>
          <w:lang w:val="en-US"/>
        </w:rPr>
        <w:t>bservation 2: By sharing UL grant info between CG, UE can increase the efficiency of UE power utilization</w:t>
      </w:r>
    </w:p>
    <w:p w14:paraId="1E289130" w14:textId="1B01F0F1" w:rsidR="00724A3D" w:rsidRPr="003157E5" w:rsidRDefault="003157E5" w:rsidP="004741F0">
      <w:pPr>
        <w:rPr>
          <w:b/>
          <w:i/>
        </w:rPr>
      </w:pPr>
      <w:r>
        <w:rPr>
          <w:rFonts w:eastAsia="Malgun Gothic"/>
          <w:b/>
          <w:i/>
        </w:rPr>
        <w:t>Proposal</w:t>
      </w:r>
      <w:r w:rsidRPr="008D6277">
        <w:rPr>
          <w:rFonts w:eastAsia="Malgun Gothic" w:hint="eastAsia"/>
          <w:b/>
          <w:i/>
        </w:rPr>
        <w:t xml:space="preserve"> </w:t>
      </w:r>
      <w:r>
        <w:rPr>
          <w:rFonts w:eastAsia="Malgun Gothic"/>
          <w:b/>
          <w:i/>
        </w:rPr>
        <w:t>1</w:t>
      </w:r>
      <w:r w:rsidRPr="008D6277">
        <w:rPr>
          <w:rFonts w:eastAsia="Malgun Gothic"/>
          <w:b/>
          <w:i/>
        </w:rPr>
        <w:t>:</w:t>
      </w:r>
      <w:r>
        <w:rPr>
          <w:rFonts w:eastAsia="Malgun Gothic"/>
          <w:b/>
          <w:i/>
        </w:rPr>
        <w:t xml:space="preserve"> Power control for NN-DC is composed by two separated parts, inter-CG power sharing and separated power control within each CG. </w:t>
      </w:r>
    </w:p>
    <w:p w14:paraId="723618D6" w14:textId="7EB6EB1B" w:rsidR="003157E5" w:rsidRDefault="003157E5" w:rsidP="003157E5">
      <w:pPr>
        <w:rPr>
          <w:b/>
          <w:i/>
          <w:lang w:val="en-US"/>
        </w:rPr>
      </w:pPr>
      <w:r>
        <w:rPr>
          <w:rFonts w:eastAsia="Malgun Gothic"/>
          <w:b/>
          <w:i/>
        </w:rPr>
        <w:t>Proposal</w:t>
      </w:r>
      <w:r w:rsidRPr="008D6277">
        <w:rPr>
          <w:rFonts w:eastAsia="Malgun Gothic" w:hint="eastAsia"/>
          <w:b/>
          <w:i/>
        </w:rPr>
        <w:t xml:space="preserve"> </w:t>
      </w:r>
      <w:r>
        <w:rPr>
          <w:rFonts w:eastAsia="Malgun Gothic"/>
          <w:b/>
          <w:i/>
        </w:rPr>
        <w:t>2</w:t>
      </w:r>
      <w:r w:rsidRPr="008D6277">
        <w:rPr>
          <w:rFonts w:eastAsia="Malgun Gothic"/>
          <w:b/>
          <w:i/>
        </w:rPr>
        <w:t>:</w:t>
      </w:r>
      <w:r>
        <w:rPr>
          <w:rFonts w:eastAsia="Malgun Gothic"/>
          <w:b/>
          <w:i/>
        </w:rPr>
        <w:t xml:space="preserve"> Performance comparison between different power sharing schemes should be done based on various espects including features related with the efficiency of power utilization such as supported UE throughput.  </w:t>
      </w:r>
    </w:p>
    <w:p w14:paraId="29EAE3F3" w14:textId="77777777" w:rsidR="003157E5" w:rsidRDefault="003157E5" w:rsidP="003157E5">
      <w:pPr>
        <w:rPr>
          <w:b/>
          <w:i/>
          <w:lang w:val="en-US"/>
        </w:rPr>
      </w:pPr>
      <w:r>
        <w:rPr>
          <w:b/>
          <w:i/>
          <w:lang w:val="en-US"/>
        </w:rPr>
        <w:t>Proposal 3: Semi-persistent power sharing where the sum of configured maximum transmission power of CG does not exceed the maximum UE transmission power should not be a single solution for NN-DC power sharing, if supported.</w:t>
      </w:r>
    </w:p>
    <w:p w14:paraId="3610192B" w14:textId="26798902" w:rsidR="003157E5" w:rsidRDefault="003157E5" w:rsidP="004741F0">
      <w:pPr>
        <w:rPr>
          <w:b/>
          <w:i/>
          <w:lang w:val="en-US"/>
        </w:rPr>
      </w:pPr>
      <w:r w:rsidRPr="00E5540B">
        <w:rPr>
          <w:rFonts w:hint="eastAsia"/>
          <w:b/>
          <w:i/>
          <w:lang w:val="en-US"/>
        </w:rPr>
        <w:t>P</w:t>
      </w:r>
      <w:r w:rsidRPr="00E5540B">
        <w:rPr>
          <w:b/>
          <w:i/>
          <w:lang w:val="en-US"/>
        </w:rPr>
        <w:t>roposal 4: NR</w:t>
      </w:r>
      <w:r>
        <w:rPr>
          <w:b/>
          <w:i/>
          <w:lang w:val="en-US"/>
        </w:rPr>
        <w:t xml:space="preserve"> Rel-16 supports Power sharing between CGs in the same FR based on UL scheduling information</w:t>
      </w:r>
    </w:p>
    <w:p w14:paraId="7F3322C2" w14:textId="76D19BA3" w:rsidR="003157E5" w:rsidRDefault="003157E5" w:rsidP="004741F0">
      <w:pPr>
        <w:rPr>
          <w:b/>
          <w:i/>
          <w:lang w:val="en-US"/>
        </w:rPr>
      </w:pPr>
      <w:r w:rsidRPr="007E7F4A">
        <w:rPr>
          <w:rFonts w:hint="eastAsia"/>
          <w:b/>
          <w:i/>
          <w:lang w:val="en-US"/>
        </w:rPr>
        <w:t>P</w:t>
      </w:r>
      <w:r w:rsidRPr="007E7F4A">
        <w:rPr>
          <w:b/>
          <w:i/>
          <w:lang w:val="en-US"/>
        </w:rPr>
        <w:t>roposal 5:</w:t>
      </w:r>
      <w:r>
        <w:rPr>
          <w:b/>
          <w:i/>
          <w:lang w:val="en-US"/>
        </w:rPr>
        <w:t xml:space="preserve"> Define NN-DC power prioritization rule by reusing NR CA power prioritization rule with possible additions.</w:t>
      </w:r>
    </w:p>
    <w:p w14:paraId="0CAFB516" w14:textId="1673C05E" w:rsidR="003157E5" w:rsidRPr="00594068" w:rsidRDefault="003157E5" w:rsidP="004741F0">
      <w:pPr>
        <w:rPr>
          <w:b/>
          <w:i/>
          <w:lang w:val="en-US"/>
        </w:rPr>
      </w:pPr>
      <w:r>
        <w:rPr>
          <w:rFonts w:hint="eastAsia"/>
          <w:b/>
          <w:i/>
          <w:lang w:val="en-US"/>
        </w:rPr>
        <w:t>P</w:t>
      </w:r>
      <w:r>
        <w:rPr>
          <w:b/>
          <w:i/>
          <w:lang w:val="en-US"/>
        </w:rPr>
        <w:t>roposal 6: Rel-16 aims to find the propoer duration where UE looks ahead for UL grant deliverying simultaneous ULs.</w:t>
      </w:r>
    </w:p>
    <w:p w14:paraId="53CD9119" w14:textId="77777777" w:rsidR="00885580" w:rsidRPr="00ED1327" w:rsidRDefault="00885580" w:rsidP="00885580">
      <w:pPr>
        <w:pStyle w:val="Heading1"/>
        <w:numPr>
          <w:ilvl w:val="0"/>
          <w:numId w:val="0"/>
        </w:numPr>
      </w:pPr>
      <w:r>
        <w:t>References</w:t>
      </w:r>
    </w:p>
    <w:p w14:paraId="720B4C8B" w14:textId="41E2D138" w:rsidR="00B158E6" w:rsidRPr="00B158E6" w:rsidRDefault="00CA7E3E" w:rsidP="00B158E6">
      <w:pPr>
        <w:pStyle w:val="ListParagraph"/>
        <w:numPr>
          <w:ilvl w:val="0"/>
          <w:numId w:val="12"/>
        </w:numPr>
        <w:spacing w:after="120"/>
        <w:ind w:left="357" w:hanging="357"/>
        <w:contextualSpacing w:val="0"/>
        <w:rPr>
          <w:sz w:val="20"/>
          <w:lang w:val="en-US"/>
        </w:rPr>
      </w:pPr>
      <w:hyperlink r:id="rId13" w:history="1">
        <w:r w:rsidR="005B0D4A" w:rsidRPr="00361193">
          <w:rPr>
            <w:rStyle w:val="Hyperlink"/>
            <w:color w:val="auto"/>
            <w:sz w:val="20"/>
            <w:szCs w:val="20"/>
            <w:u w:val="none"/>
            <w:lang w:val="en-US" w:eastAsia="x-none"/>
          </w:rPr>
          <w:t>RP-182076</w:t>
        </w:r>
      </w:hyperlink>
      <w:r w:rsidR="00B158E6" w:rsidRPr="00361193">
        <w:rPr>
          <w:sz w:val="20"/>
          <w:lang w:val="en-US"/>
        </w:rPr>
        <w:tab/>
      </w:r>
      <w:r w:rsidR="00AF48A0" w:rsidRPr="00B158E6">
        <w:rPr>
          <w:sz w:val="20"/>
          <w:lang w:val="en-US"/>
        </w:rPr>
        <w:t>“</w:t>
      </w:r>
      <w:r w:rsidR="005B0D4A" w:rsidRPr="00B158E6">
        <w:rPr>
          <w:sz w:val="20"/>
          <w:lang w:val="en-US"/>
        </w:rPr>
        <w:t>WID on Multi-RAT Dual-Connectivity and Carrier Aggregation enhancements (LTE_NR_DC_CA_enh-Core)”, Ericsson, Nokia, Nokia Shanghai Bell, Huawei</w:t>
      </w:r>
    </w:p>
    <w:p w14:paraId="29452B42" w14:textId="5D455D0A" w:rsidR="005B0D4A" w:rsidRDefault="00CA7E3E" w:rsidP="00B158E6">
      <w:pPr>
        <w:pStyle w:val="ListParagraph"/>
        <w:numPr>
          <w:ilvl w:val="0"/>
          <w:numId w:val="12"/>
        </w:numPr>
        <w:spacing w:after="120"/>
        <w:ind w:left="357" w:hanging="357"/>
        <w:contextualSpacing w:val="0"/>
        <w:rPr>
          <w:sz w:val="20"/>
          <w:lang w:val="en-US"/>
        </w:rPr>
      </w:pPr>
      <w:hyperlink r:id="rId14" w:history="1">
        <w:r w:rsidR="00B158E6" w:rsidRPr="00361193">
          <w:rPr>
            <w:rStyle w:val="Hyperlink"/>
            <w:color w:val="auto"/>
            <w:sz w:val="20"/>
            <w:szCs w:val="20"/>
            <w:u w:val="none"/>
            <w:lang w:val="en-US" w:eastAsia="x-none"/>
          </w:rPr>
          <w:t>RP-182083</w:t>
        </w:r>
      </w:hyperlink>
      <w:r w:rsidR="00B158E6">
        <w:rPr>
          <w:sz w:val="20"/>
          <w:lang w:val="en-US"/>
        </w:rPr>
        <w:tab/>
      </w:r>
      <w:r w:rsidR="005B0D4A" w:rsidRPr="00B158E6">
        <w:rPr>
          <w:sz w:val="20"/>
          <w:lang w:val="en-US"/>
        </w:rPr>
        <w:t>“</w:t>
      </w:r>
      <w:r w:rsidR="00B158E6" w:rsidRPr="00B158E6">
        <w:rPr>
          <w:sz w:val="20"/>
          <w:lang w:val="en-US"/>
        </w:rPr>
        <w:t>Rel-15 Work Item Exception for New Radio Access Technology – Core”, NTT DOCOMO INC.</w:t>
      </w:r>
    </w:p>
    <w:p w14:paraId="490F3CB2" w14:textId="4AAD6A63" w:rsidR="003157E5" w:rsidRPr="00B158E6" w:rsidRDefault="003157E5" w:rsidP="00B158E6">
      <w:pPr>
        <w:pStyle w:val="ListParagraph"/>
        <w:numPr>
          <w:ilvl w:val="0"/>
          <w:numId w:val="12"/>
        </w:numPr>
        <w:spacing w:after="120"/>
        <w:ind w:left="357" w:hanging="357"/>
        <w:contextualSpacing w:val="0"/>
        <w:rPr>
          <w:sz w:val="20"/>
          <w:lang w:val="en-US"/>
        </w:rPr>
      </w:pPr>
      <w:r>
        <w:rPr>
          <w:rFonts w:hint="eastAsia"/>
          <w:sz w:val="20"/>
          <w:lang w:val="en-US"/>
        </w:rPr>
        <w:t>R</w:t>
      </w:r>
      <w:r>
        <w:rPr>
          <w:sz w:val="20"/>
          <w:lang w:val="en-US"/>
        </w:rPr>
        <w:t>1-1900696 “Uplink PC for NR-NR dual connectivity”, Nokia</w:t>
      </w:r>
    </w:p>
    <w:sectPr w:rsidR="003157E5" w:rsidRPr="00B158E6"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DAA650" w14:textId="77777777" w:rsidR="000579C8" w:rsidRDefault="000579C8">
      <w:r>
        <w:separator/>
      </w:r>
    </w:p>
  </w:endnote>
  <w:endnote w:type="continuationSeparator" w:id="0">
    <w:p w14:paraId="52693326" w14:textId="77777777" w:rsidR="000579C8" w:rsidRDefault="000579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¹ÙÅÁ"/>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CE1932" w14:textId="77777777" w:rsidR="000579C8" w:rsidRDefault="000579C8">
      <w:r>
        <w:separator/>
      </w:r>
    </w:p>
  </w:footnote>
  <w:footnote w:type="continuationSeparator" w:id="0">
    <w:p w14:paraId="71DE8FFF" w14:textId="77777777" w:rsidR="000579C8" w:rsidRDefault="000579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9812559"/>
    <w:multiLevelType w:val="hybridMultilevel"/>
    <w:tmpl w:val="B3C659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0F4D25"/>
    <w:multiLevelType w:val="hybridMultilevel"/>
    <w:tmpl w:val="7BB67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7" w15:restartNumberingAfterBreak="0">
    <w:nsid w:val="1CA341FA"/>
    <w:multiLevelType w:val="hybridMultilevel"/>
    <w:tmpl w:val="5E9CEA0C"/>
    <w:lvl w:ilvl="0" w:tplc="E5F8124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4C30DC"/>
    <w:multiLevelType w:val="hybridMultilevel"/>
    <w:tmpl w:val="6BBC67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BAE6941"/>
    <w:multiLevelType w:val="hybridMultilevel"/>
    <w:tmpl w:val="6C9E51A4"/>
    <w:lvl w:ilvl="0" w:tplc="84DC7E1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35B055D2"/>
    <w:multiLevelType w:val="hybridMultilevel"/>
    <w:tmpl w:val="E3BAD2E0"/>
    <w:lvl w:ilvl="0" w:tplc="08090001">
      <w:start w:val="1"/>
      <w:numFmt w:val="bullet"/>
      <w:lvlText w:val=""/>
      <w:lvlJc w:val="left"/>
      <w:pPr>
        <w:tabs>
          <w:tab w:val="num" w:pos="1134"/>
        </w:tabs>
        <w:ind w:left="1134" w:hanging="360"/>
      </w:pPr>
      <w:rPr>
        <w:rFonts w:ascii="Symbol" w:hAnsi="Symbol" w:hint="default"/>
      </w:rPr>
    </w:lvl>
    <w:lvl w:ilvl="1" w:tplc="08090003">
      <w:start w:val="1"/>
      <w:numFmt w:val="bullet"/>
      <w:lvlText w:val="o"/>
      <w:lvlJc w:val="left"/>
      <w:pPr>
        <w:tabs>
          <w:tab w:val="num" w:pos="1854"/>
        </w:tabs>
        <w:ind w:left="1854" w:hanging="360"/>
      </w:pPr>
      <w:rPr>
        <w:rFonts w:ascii="Courier New" w:hAnsi="Courier New" w:cs="Courier New" w:hint="default"/>
      </w:rPr>
    </w:lvl>
    <w:lvl w:ilvl="2" w:tplc="08090005">
      <w:start w:val="1"/>
      <w:numFmt w:val="bullet"/>
      <w:lvlText w:val=""/>
      <w:lvlJc w:val="left"/>
      <w:pPr>
        <w:tabs>
          <w:tab w:val="num" w:pos="2574"/>
        </w:tabs>
        <w:ind w:left="2574" w:hanging="360"/>
      </w:pPr>
      <w:rPr>
        <w:rFonts w:ascii="Wingdings" w:hAnsi="Wingdings" w:hint="default"/>
      </w:rPr>
    </w:lvl>
    <w:lvl w:ilvl="3" w:tplc="6450C6DE">
      <w:numFmt w:val="bullet"/>
      <w:lvlText w:val="-"/>
      <w:lvlJc w:val="left"/>
      <w:pPr>
        <w:ind w:left="3294" w:hanging="360"/>
      </w:pPr>
      <w:rPr>
        <w:rFonts w:ascii="Arial" w:eastAsia="MS Mincho" w:hAnsi="Arial" w:cs="Arial" w:hint="default"/>
      </w:rPr>
    </w:lvl>
    <w:lvl w:ilvl="4" w:tplc="08090003" w:tentative="1">
      <w:start w:val="1"/>
      <w:numFmt w:val="bullet"/>
      <w:lvlText w:val="o"/>
      <w:lvlJc w:val="left"/>
      <w:pPr>
        <w:tabs>
          <w:tab w:val="num" w:pos="4014"/>
        </w:tabs>
        <w:ind w:left="4014" w:hanging="360"/>
      </w:pPr>
      <w:rPr>
        <w:rFonts w:ascii="Courier New" w:hAnsi="Courier New" w:cs="Courier New" w:hint="default"/>
      </w:rPr>
    </w:lvl>
    <w:lvl w:ilvl="5" w:tplc="08090005" w:tentative="1">
      <w:start w:val="1"/>
      <w:numFmt w:val="bullet"/>
      <w:lvlText w:val=""/>
      <w:lvlJc w:val="left"/>
      <w:pPr>
        <w:tabs>
          <w:tab w:val="num" w:pos="4734"/>
        </w:tabs>
        <w:ind w:left="4734" w:hanging="360"/>
      </w:pPr>
      <w:rPr>
        <w:rFonts w:ascii="Wingdings" w:hAnsi="Wingdings" w:hint="default"/>
      </w:rPr>
    </w:lvl>
    <w:lvl w:ilvl="6" w:tplc="08090001" w:tentative="1">
      <w:start w:val="1"/>
      <w:numFmt w:val="bullet"/>
      <w:lvlText w:val=""/>
      <w:lvlJc w:val="left"/>
      <w:pPr>
        <w:tabs>
          <w:tab w:val="num" w:pos="5454"/>
        </w:tabs>
        <w:ind w:left="5454" w:hanging="360"/>
      </w:pPr>
      <w:rPr>
        <w:rFonts w:ascii="Symbol" w:hAnsi="Symbol" w:hint="default"/>
      </w:rPr>
    </w:lvl>
    <w:lvl w:ilvl="7" w:tplc="08090003" w:tentative="1">
      <w:start w:val="1"/>
      <w:numFmt w:val="bullet"/>
      <w:lvlText w:val="o"/>
      <w:lvlJc w:val="left"/>
      <w:pPr>
        <w:tabs>
          <w:tab w:val="num" w:pos="6174"/>
        </w:tabs>
        <w:ind w:left="6174" w:hanging="360"/>
      </w:pPr>
      <w:rPr>
        <w:rFonts w:ascii="Courier New" w:hAnsi="Courier New" w:cs="Courier New" w:hint="default"/>
      </w:rPr>
    </w:lvl>
    <w:lvl w:ilvl="8" w:tplc="08090005" w:tentative="1">
      <w:start w:val="1"/>
      <w:numFmt w:val="bullet"/>
      <w:lvlText w:val=""/>
      <w:lvlJc w:val="left"/>
      <w:pPr>
        <w:tabs>
          <w:tab w:val="num" w:pos="6894"/>
        </w:tabs>
        <w:ind w:left="6894" w:hanging="360"/>
      </w:pPr>
      <w:rPr>
        <w:rFonts w:ascii="Wingdings" w:hAnsi="Wingdings"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1208D2"/>
    <w:multiLevelType w:val="hybridMultilevel"/>
    <w:tmpl w:val="4A90EA86"/>
    <w:lvl w:ilvl="0" w:tplc="444812AA">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8"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F1B484B"/>
    <w:multiLevelType w:val="hybridMultilevel"/>
    <w:tmpl w:val="44D8767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1" w15:restartNumberingAfterBreak="0">
    <w:nsid w:val="6AB3345F"/>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2D404EB"/>
    <w:multiLevelType w:val="hybridMultilevel"/>
    <w:tmpl w:val="82FA29AE"/>
    <w:lvl w:ilvl="0" w:tplc="34249F44">
      <w:start w:val="1"/>
      <w:numFmt w:val="bullet"/>
      <w:lvlText w:val="‐"/>
      <w:lvlJc w:val="left"/>
      <w:pPr>
        <w:ind w:left="983" w:hanging="420"/>
      </w:pPr>
      <w:rPr>
        <w:rFonts w:ascii="MS Mincho" w:eastAsia="MS Mincho" w:hAnsi="MS Mincho" w:hint="eastAsia"/>
      </w:rPr>
    </w:lvl>
    <w:lvl w:ilvl="1" w:tplc="0409000B">
      <w:start w:val="1"/>
      <w:numFmt w:val="bullet"/>
      <w:lvlText w:val=""/>
      <w:lvlJc w:val="left"/>
      <w:pPr>
        <w:ind w:left="1403" w:hanging="420"/>
      </w:pPr>
      <w:rPr>
        <w:rFonts w:ascii="Wingdings" w:hAnsi="Wingdings" w:hint="default"/>
      </w:rPr>
    </w:lvl>
    <w:lvl w:ilvl="2" w:tplc="0409000D">
      <w:start w:val="1"/>
      <w:numFmt w:val="bullet"/>
      <w:lvlText w:val=""/>
      <w:lvlJc w:val="left"/>
      <w:pPr>
        <w:ind w:left="1823" w:hanging="420"/>
      </w:pPr>
      <w:rPr>
        <w:rFonts w:ascii="Wingdings" w:hAnsi="Wingdings" w:hint="default"/>
      </w:rPr>
    </w:lvl>
    <w:lvl w:ilvl="3" w:tplc="34249F44">
      <w:start w:val="1"/>
      <w:numFmt w:val="bullet"/>
      <w:lvlText w:val="‐"/>
      <w:lvlJc w:val="left"/>
      <w:pPr>
        <w:ind w:left="2243" w:hanging="420"/>
      </w:pPr>
      <w:rPr>
        <w:rFonts w:ascii="MS Mincho" w:eastAsia="MS Mincho" w:hAnsi="MS Mincho" w:hint="eastAsia"/>
      </w:rPr>
    </w:lvl>
    <w:lvl w:ilvl="4" w:tplc="0409000B" w:tentative="1">
      <w:start w:val="1"/>
      <w:numFmt w:val="bullet"/>
      <w:lvlText w:val=""/>
      <w:lvlJc w:val="left"/>
      <w:pPr>
        <w:ind w:left="2663" w:hanging="420"/>
      </w:pPr>
      <w:rPr>
        <w:rFonts w:ascii="Wingdings" w:hAnsi="Wingdings" w:hint="default"/>
      </w:rPr>
    </w:lvl>
    <w:lvl w:ilvl="5" w:tplc="0409000D" w:tentative="1">
      <w:start w:val="1"/>
      <w:numFmt w:val="bullet"/>
      <w:lvlText w:val=""/>
      <w:lvlJc w:val="left"/>
      <w:pPr>
        <w:ind w:left="3083" w:hanging="420"/>
      </w:pPr>
      <w:rPr>
        <w:rFonts w:ascii="Wingdings" w:hAnsi="Wingdings" w:hint="default"/>
      </w:rPr>
    </w:lvl>
    <w:lvl w:ilvl="6" w:tplc="04090001" w:tentative="1">
      <w:start w:val="1"/>
      <w:numFmt w:val="bullet"/>
      <w:lvlText w:val=""/>
      <w:lvlJc w:val="left"/>
      <w:pPr>
        <w:ind w:left="3503" w:hanging="420"/>
      </w:pPr>
      <w:rPr>
        <w:rFonts w:ascii="Wingdings" w:hAnsi="Wingdings" w:hint="default"/>
      </w:rPr>
    </w:lvl>
    <w:lvl w:ilvl="7" w:tplc="0409000B" w:tentative="1">
      <w:start w:val="1"/>
      <w:numFmt w:val="bullet"/>
      <w:lvlText w:val=""/>
      <w:lvlJc w:val="left"/>
      <w:pPr>
        <w:ind w:left="3923" w:hanging="420"/>
      </w:pPr>
      <w:rPr>
        <w:rFonts w:ascii="Wingdings" w:hAnsi="Wingdings" w:hint="default"/>
      </w:rPr>
    </w:lvl>
    <w:lvl w:ilvl="8" w:tplc="0409000D" w:tentative="1">
      <w:start w:val="1"/>
      <w:numFmt w:val="bullet"/>
      <w:lvlText w:val=""/>
      <w:lvlJc w:val="left"/>
      <w:pPr>
        <w:ind w:left="4343" w:hanging="420"/>
      </w:pPr>
      <w:rPr>
        <w:rFonts w:ascii="Wingdings" w:hAnsi="Wingdings" w:hint="default"/>
      </w:rPr>
    </w:lvl>
  </w:abstractNum>
  <w:abstractNum w:abstractNumId="23"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8"/>
  </w:num>
  <w:num w:numId="3">
    <w:abstractNumId w:val="0"/>
  </w:num>
  <w:num w:numId="4">
    <w:abstractNumId w:val="1"/>
  </w:num>
  <w:num w:numId="5">
    <w:abstractNumId w:val="13"/>
  </w:num>
  <w:num w:numId="6">
    <w:abstractNumId w:val="20"/>
  </w:num>
  <w:num w:numId="7">
    <w:abstractNumId w:val="14"/>
  </w:num>
  <w:num w:numId="8">
    <w:abstractNumId w:val="12"/>
  </w:num>
  <w:num w:numId="9">
    <w:abstractNumId w:val="23"/>
  </w:num>
  <w:num w:numId="10">
    <w:abstractNumId w:val="3"/>
  </w:num>
  <w:num w:numId="11">
    <w:abstractNumId w:val="15"/>
  </w:num>
  <w:num w:numId="12">
    <w:abstractNumId w:val="2"/>
  </w:num>
  <w:num w:numId="13">
    <w:abstractNumId w:val="10"/>
  </w:num>
  <w:num w:numId="14">
    <w:abstractNumId w:val="17"/>
  </w:num>
  <w:num w:numId="15">
    <w:abstractNumId w:val="24"/>
  </w:num>
  <w:num w:numId="16">
    <w:abstractNumId w:val="11"/>
  </w:num>
  <w:num w:numId="17">
    <w:abstractNumId w:val="22"/>
  </w:num>
  <w:num w:numId="18">
    <w:abstractNumId w:val="21"/>
  </w:num>
  <w:num w:numId="19">
    <w:abstractNumId w:val="5"/>
  </w:num>
  <w:num w:numId="20">
    <w:abstractNumId w:val="8"/>
  </w:num>
  <w:num w:numId="21">
    <w:abstractNumId w:val="16"/>
  </w:num>
  <w:num w:numId="22">
    <w:abstractNumId w:val="19"/>
  </w:num>
  <w:num w:numId="23">
    <w:abstractNumId w:val="7"/>
  </w:num>
  <w:num w:numId="24">
    <w:abstractNumId w:val="4"/>
  </w:num>
  <w:num w:numId="25">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4E00"/>
    <w:rsid w:val="00035691"/>
    <w:rsid w:val="0003767C"/>
    <w:rsid w:val="00040F4F"/>
    <w:rsid w:val="0004132D"/>
    <w:rsid w:val="00041C9D"/>
    <w:rsid w:val="00042AB0"/>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579C8"/>
    <w:rsid w:val="00060D8E"/>
    <w:rsid w:val="00062159"/>
    <w:rsid w:val="00063D9E"/>
    <w:rsid w:val="00064AD3"/>
    <w:rsid w:val="00065088"/>
    <w:rsid w:val="000652D3"/>
    <w:rsid w:val="000654A0"/>
    <w:rsid w:val="00065E94"/>
    <w:rsid w:val="000701AD"/>
    <w:rsid w:val="000707CA"/>
    <w:rsid w:val="00070D21"/>
    <w:rsid w:val="000717FB"/>
    <w:rsid w:val="000719BF"/>
    <w:rsid w:val="0007208A"/>
    <w:rsid w:val="0007213C"/>
    <w:rsid w:val="00072BBA"/>
    <w:rsid w:val="00072FF5"/>
    <w:rsid w:val="000730DC"/>
    <w:rsid w:val="00074A0B"/>
    <w:rsid w:val="00075965"/>
    <w:rsid w:val="00075FDA"/>
    <w:rsid w:val="00076386"/>
    <w:rsid w:val="00076D82"/>
    <w:rsid w:val="00081EC2"/>
    <w:rsid w:val="00082154"/>
    <w:rsid w:val="00083800"/>
    <w:rsid w:val="00084A65"/>
    <w:rsid w:val="0008559A"/>
    <w:rsid w:val="000902C2"/>
    <w:rsid w:val="00091A92"/>
    <w:rsid w:val="00092E88"/>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C1D59"/>
    <w:rsid w:val="000C2B09"/>
    <w:rsid w:val="000C30CF"/>
    <w:rsid w:val="000C501D"/>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7A79"/>
    <w:rsid w:val="000F1422"/>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81F"/>
    <w:rsid w:val="00163D1D"/>
    <w:rsid w:val="00164171"/>
    <w:rsid w:val="00164E58"/>
    <w:rsid w:val="00165033"/>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41ED"/>
    <w:rsid w:val="001B4607"/>
    <w:rsid w:val="001B7E0C"/>
    <w:rsid w:val="001C0394"/>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13B3"/>
    <w:rsid w:val="001E30A0"/>
    <w:rsid w:val="001E3DE1"/>
    <w:rsid w:val="001E4C9C"/>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2D5"/>
    <w:rsid w:val="001F23BD"/>
    <w:rsid w:val="001F34DA"/>
    <w:rsid w:val="001F4DAC"/>
    <w:rsid w:val="001F5019"/>
    <w:rsid w:val="001F51C5"/>
    <w:rsid w:val="001F65B0"/>
    <w:rsid w:val="001F67AA"/>
    <w:rsid w:val="001F6AFD"/>
    <w:rsid w:val="001F738D"/>
    <w:rsid w:val="001F7599"/>
    <w:rsid w:val="00202D92"/>
    <w:rsid w:val="00204A2A"/>
    <w:rsid w:val="00204B22"/>
    <w:rsid w:val="00204B3A"/>
    <w:rsid w:val="0020535A"/>
    <w:rsid w:val="002055CB"/>
    <w:rsid w:val="002059EF"/>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6F39"/>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5C70"/>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815FA"/>
    <w:rsid w:val="002824C2"/>
    <w:rsid w:val="00284E32"/>
    <w:rsid w:val="002851EB"/>
    <w:rsid w:val="00285510"/>
    <w:rsid w:val="00285BD1"/>
    <w:rsid w:val="00285DE2"/>
    <w:rsid w:val="0028616D"/>
    <w:rsid w:val="00286965"/>
    <w:rsid w:val="00287E83"/>
    <w:rsid w:val="0029136E"/>
    <w:rsid w:val="00292399"/>
    <w:rsid w:val="00293485"/>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3FE"/>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7E5"/>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C4C"/>
    <w:rsid w:val="00335EA8"/>
    <w:rsid w:val="003363DD"/>
    <w:rsid w:val="00337810"/>
    <w:rsid w:val="00340361"/>
    <w:rsid w:val="00340795"/>
    <w:rsid w:val="0034111C"/>
    <w:rsid w:val="00341E60"/>
    <w:rsid w:val="0034217F"/>
    <w:rsid w:val="00342AD2"/>
    <w:rsid w:val="00343954"/>
    <w:rsid w:val="00345405"/>
    <w:rsid w:val="00345DDD"/>
    <w:rsid w:val="00346FED"/>
    <w:rsid w:val="00351E01"/>
    <w:rsid w:val="00352968"/>
    <w:rsid w:val="0035298B"/>
    <w:rsid w:val="00352D21"/>
    <w:rsid w:val="0035443D"/>
    <w:rsid w:val="00354AA2"/>
    <w:rsid w:val="00354FEE"/>
    <w:rsid w:val="00356275"/>
    <w:rsid w:val="00356C0B"/>
    <w:rsid w:val="00357B9C"/>
    <w:rsid w:val="00361193"/>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80B66"/>
    <w:rsid w:val="00380F3F"/>
    <w:rsid w:val="00381953"/>
    <w:rsid w:val="00382232"/>
    <w:rsid w:val="00382F1A"/>
    <w:rsid w:val="00383282"/>
    <w:rsid w:val="00383422"/>
    <w:rsid w:val="00383658"/>
    <w:rsid w:val="0038412E"/>
    <w:rsid w:val="00386053"/>
    <w:rsid w:val="0038771D"/>
    <w:rsid w:val="00390935"/>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02"/>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E0042"/>
    <w:rsid w:val="003E0667"/>
    <w:rsid w:val="003E0BCE"/>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0F06"/>
    <w:rsid w:val="0041443C"/>
    <w:rsid w:val="0041488F"/>
    <w:rsid w:val="004154F7"/>
    <w:rsid w:val="00416D44"/>
    <w:rsid w:val="004176FF"/>
    <w:rsid w:val="00417A1E"/>
    <w:rsid w:val="00421A27"/>
    <w:rsid w:val="00421D0A"/>
    <w:rsid w:val="004226C3"/>
    <w:rsid w:val="004241C5"/>
    <w:rsid w:val="00424FA7"/>
    <w:rsid w:val="00425D2C"/>
    <w:rsid w:val="00426A87"/>
    <w:rsid w:val="00427007"/>
    <w:rsid w:val="004309D8"/>
    <w:rsid w:val="004311B6"/>
    <w:rsid w:val="004313D1"/>
    <w:rsid w:val="00432110"/>
    <w:rsid w:val="004328EE"/>
    <w:rsid w:val="00433EBE"/>
    <w:rsid w:val="00434406"/>
    <w:rsid w:val="00440FED"/>
    <w:rsid w:val="00441B92"/>
    <w:rsid w:val="00443A9F"/>
    <w:rsid w:val="0044474B"/>
    <w:rsid w:val="00445FF7"/>
    <w:rsid w:val="004508A8"/>
    <w:rsid w:val="0045193E"/>
    <w:rsid w:val="00452CA7"/>
    <w:rsid w:val="00453341"/>
    <w:rsid w:val="004545C6"/>
    <w:rsid w:val="00454DCA"/>
    <w:rsid w:val="00454E26"/>
    <w:rsid w:val="00456544"/>
    <w:rsid w:val="00456649"/>
    <w:rsid w:val="004567B7"/>
    <w:rsid w:val="00456856"/>
    <w:rsid w:val="004571EF"/>
    <w:rsid w:val="0046047A"/>
    <w:rsid w:val="00461210"/>
    <w:rsid w:val="00461700"/>
    <w:rsid w:val="00461AAC"/>
    <w:rsid w:val="00462490"/>
    <w:rsid w:val="00462AC9"/>
    <w:rsid w:val="00463DC3"/>
    <w:rsid w:val="00465299"/>
    <w:rsid w:val="00466A0F"/>
    <w:rsid w:val="0046795B"/>
    <w:rsid w:val="00470665"/>
    <w:rsid w:val="004708C0"/>
    <w:rsid w:val="0047115F"/>
    <w:rsid w:val="004715CB"/>
    <w:rsid w:val="00471863"/>
    <w:rsid w:val="00473777"/>
    <w:rsid w:val="00473A14"/>
    <w:rsid w:val="004741F0"/>
    <w:rsid w:val="004745A9"/>
    <w:rsid w:val="00474871"/>
    <w:rsid w:val="00474CA8"/>
    <w:rsid w:val="00474E43"/>
    <w:rsid w:val="00476A55"/>
    <w:rsid w:val="0048076D"/>
    <w:rsid w:val="0048134D"/>
    <w:rsid w:val="00481624"/>
    <w:rsid w:val="00481765"/>
    <w:rsid w:val="00481D90"/>
    <w:rsid w:val="00482700"/>
    <w:rsid w:val="00482CD4"/>
    <w:rsid w:val="00483261"/>
    <w:rsid w:val="0048328A"/>
    <w:rsid w:val="00483FB2"/>
    <w:rsid w:val="00484377"/>
    <w:rsid w:val="00485B23"/>
    <w:rsid w:val="00485B50"/>
    <w:rsid w:val="004874E4"/>
    <w:rsid w:val="00487ADE"/>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B23AD"/>
    <w:rsid w:val="004B2965"/>
    <w:rsid w:val="004B3265"/>
    <w:rsid w:val="004B4224"/>
    <w:rsid w:val="004B4297"/>
    <w:rsid w:val="004B4647"/>
    <w:rsid w:val="004B6B25"/>
    <w:rsid w:val="004B7455"/>
    <w:rsid w:val="004B74FF"/>
    <w:rsid w:val="004B7CE4"/>
    <w:rsid w:val="004C0401"/>
    <w:rsid w:val="004C0C49"/>
    <w:rsid w:val="004C1096"/>
    <w:rsid w:val="004C183D"/>
    <w:rsid w:val="004C222E"/>
    <w:rsid w:val="004C394F"/>
    <w:rsid w:val="004C3EC7"/>
    <w:rsid w:val="004C3EEE"/>
    <w:rsid w:val="004C483D"/>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F67"/>
    <w:rsid w:val="00556E32"/>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2087"/>
    <w:rsid w:val="00582F21"/>
    <w:rsid w:val="00582FCA"/>
    <w:rsid w:val="005831DD"/>
    <w:rsid w:val="00584320"/>
    <w:rsid w:val="00585484"/>
    <w:rsid w:val="00587229"/>
    <w:rsid w:val="00587503"/>
    <w:rsid w:val="00587F7F"/>
    <w:rsid w:val="00590E8D"/>
    <w:rsid w:val="00591511"/>
    <w:rsid w:val="00591E50"/>
    <w:rsid w:val="00592CDA"/>
    <w:rsid w:val="0059331A"/>
    <w:rsid w:val="00593A72"/>
    <w:rsid w:val="00594068"/>
    <w:rsid w:val="00595A8C"/>
    <w:rsid w:val="00595C2C"/>
    <w:rsid w:val="00596BBA"/>
    <w:rsid w:val="00597386"/>
    <w:rsid w:val="005975C4"/>
    <w:rsid w:val="00597ED8"/>
    <w:rsid w:val="005A17AE"/>
    <w:rsid w:val="005A2B20"/>
    <w:rsid w:val="005A34D5"/>
    <w:rsid w:val="005A3943"/>
    <w:rsid w:val="005A4904"/>
    <w:rsid w:val="005A515A"/>
    <w:rsid w:val="005A704D"/>
    <w:rsid w:val="005B0D4A"/>
    <w:rsid w:val="005B3C6D"/>
    <w:rsid w:val="005B4045"/>
    <w:rsid w:val="005B609E"/>
    <w:rsid w:val="005B6335"/>
    <w:rsid w:val="005B6DF6"/>
    <w:rsid w:val="005B7B7D"/>
    <w:rsid w:val="005C1948"/>
    <w:rsid w:val="005C22F9"/>
    <w:rsid w:val="005C263C"/>
    <w:rsid w:val="005C2679"/>
    <w:rsid w:val="005C298C"/>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658"/>
    <w:rsid w:val="005F28C6"/>
    <w:rsid w:val="005F3F16"/>
    <w:rsid w:val="005F52CC"/>
    <w:rsid w:val="005F5C24"/>
    <w:rsid w:val="005F5E6F"/>
    <w:rsid w:val="005F681C"/>
    <w:rsid w:val="005F6BD4"/>
    <w:rsid w:val="005F7188"/>
    <w:rsid w:val="005F7985"/>
    <w:rsid w:val="00600CEB"/>
    <w:rsid w:val="00602A78"/>
    <w:rsid w:val="00602A84"/>
    <w:rsid w:val="00602AA1"/>
    <w:rsid w:val="00603123"/>
    <w:rsid w:val="006036F4"/>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01A9"/>
    <w:rsid w:val="0062152A"/>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888"/>
    <w:rsid w:val="00690E2E"/>
    <w:rsid w:val="006915D7"/>
    <w:rsid w:val="00692814"/>
    <w:rsid w:val="006932E7"/>
    <w:rsid w:val="00693347"/>
    <w:rsid w:val="0069334C"/>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4C16"/>
    <w:rsid w:val="006B564D"/>
    <w:rsid w:val="006C1445"/>
    <w:rsid w:val="006C3AB0"/>
    <w:rsid w:val="006C4FC1"/>
    <w:rsid w:val="006C51A5"/>
    <w:rsid w:val="006C529D"/>
    <w:rsid w:val="006C6798"/>
    <w:rsid w:val="006C6DF7"/>
    <w:rsid w:val="006D0C12"/>
    <w:rsid w:val="006D0E6B"/>
    <w:rsid w:val="006D2146"/>
    <w:rsid w:val="006D632E"/>
    <w:rsid w:val="006E094A"/>
    <w:rsid w:val="006E12B1"/>
    <w:rsid w:val="006E13D1"/>
    <w:rsid w:val="006E2D5F"/>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07603"/>
    <w:rsid w:val="007100B0"/>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A3D"/>
    <w:rsid w:val="00724B64"/>
    <w:rsid w:val="0072517D"/>
    <w:rsid w:val="00726878"/>
    <w:rsid w:val="00726F7F"/>
    <w:rsid w:val="0073124A"/>
    <w:rsid w:val="00731B79"/>
    <w:rsid w:val="007320A2"/>
    <w:rsid w:val="007327CE"/>
    <w:rsid w:val="00733893"/>
    <w:rsid w:val="00734A05"/>
    <w:rsid w:val="00735C6F"/>
    <w:rsid w:val="00737A31"/>
    <w:rsid w:val="00742A6A"/>
    <w:rsid w:val="00742B44"/>
    <w:rsid w:val="0074656E"/>
    <w:rsid w:val="007472D5"/>
    <w:rsid w:val="00752B03"/>
    <w:rsid w:val="00753454"/>
    <w:rsid w:val="00753BB5"/>
    <w:rsid w:val="007544F1"/>
    <w:rsid w:val="00754F21"/>
    <w:rsid w:val="00755E4A"/>
    <w:rsid w:val="00756832"/>
    <w:rsid w:val="00757F0B"/>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9E"/>
    <w:rsid w:val="007C5DB8"/>
    <w:rsid w:val="007C5DCE"/>
    <w:rsid w:val="007C6CA2"/>
    <w:rsid w:val="007D05B2"/>
    <w:rsid w:val="007D05FA"/>
    <w:rsid w:val="007D0C44"/>
    <w:rsid w:val="007D1972"/>
    <w:rsid w:val="007D1F33"/>
    <w:rsid w:val="007D3307"/>
    <w:rsid w:val="007D54F8"/>
    <w:rsid w:val="007D5E27"/>
    <w:rsid w:val="007D6F64"/>
    <w:rsid w:val="007E1782"/>
    <w:rsid w:val="007E25AB"/>
    <w:rsid w:val="007E2F41"/>
    <w:rsid w:val="007E44FC"/>
    <w:rsid w:val="007E5AC2"/>
    <w:rsid w:val="007E6E1D"/>
    <w:rsid w:val="007E79C5"/>
    <w:rsid w:val="007E7F4A"/>
    <w:rsid w:val="007F0D35"/>
    <w:rsid w:val="007F2845"/>
    <w:rsid w:val="007F2A69"/>
    <w:rsid w:val="007F38A2"/>
    <w:rsid w:val="007F43BC"/>
    <w:rsid w:val="007F4740"/>
    <w:rsid w:val="008006C6"/>
    <w:rsid w:val="00800C52"/>
    <w:rsid w:val="0080153E"/>
    <w:rsid w:val="008018C8"/>
    <w:rsid w:val="00801D7F"/>
    <w:rsid w:val="0080263A"/>
    <w:rsid w:val="00803198"/>
    <w:rsid w:val="0080329D"/>
    <w:rsid w:val="008055A9"/>
    <w:rsid w:val="0080742D"/>
    <w:rsid w:val="008100AC"/>
    <w:rsid w:val="00810C05"/>
    <w:rsid w:val="0081151E"/>
    <w:rsid w:val="00811BEA"/>
    <w:rsid w:val="00812498"/>
    <w:rsid w:val="008127E6"/>
    <w:rsid w:val="0081336E"/>
    <w:rsid w:val="00813928"/>
    <w:rsid w:val="008154EC"/>
    <w:rsid w:val="00820DC7"/>
    <w:rsid w:val="00820FFB"/>
    <w:rsid w:val="00821698"/>
    <w:rsid w:val="008221FE"/>
    <w:rsid w:val="00822BF5"/>
    <w:rsid w:val="00824894"/>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4CB1"/>
    <w:rsid w:val="008B5071"/>
    <w:rsid w:val="008B5290"/>
    <w:rsid w:val="008B6A40"/>
    <w:rsid w:val="008B72EC"/>
    <w:rsid w:val="008C2CFD"/>
    <w:rsid w:val="008C3FDC"/>
    <w:rsid w:val="008C47AD"/>
    <w:rsid w:val="008C540B"/>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7B4"/>
    <w:rsid w:val="008E4A31"/>
    <w:rsid w:val="008E5657"/>
    <w:rsid w:val="008E5E51"/>
    <w:rsid w:val="008F00DB"/>
    <w:rsid w:val="008F1264"/>
    <w:rsid w:val="008F2908"/>
    <w:rsid w:val="008F47C6"/>
    <w:rsid w:val="008F6647"/>
    <w:rsid w:val="008F700E"/>
    <w:rsid w:val="00900343"/>
    <w:rsid w:val="009006A2"/>
    <w:rsid w:val="00900900"/>
    <w:rsid w:val="0090102B"/>
    <w:rsid w:val="00901448"/>
    <w:rsid w:val="009036BC"/>
    <w:rsid w:val="00903D30"/>
    <w:rsid w:val="00904414"/>
    <w:rsid w:val="00905197"/>
    <w:rsid w:val="00905C47"/>
    <w:rsid w:val="00906379"/>
    <w:rsid w:val="00906A8C"/>
    <w:rsid w:val="00906E64"/>
    <w:rsid w:val="009101EA"/>
    <w:rsid w:val="009106FC"/>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62C"/>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DDF"/>
    <w:rsid w:val="0097225C"/>
    <w:rsid w:val="009731D6"/>
    <w:rsid w:val="00973FC6"/>
    <w:rsid w:val="00974746"/>
    <w:rsid w:val="00975119"/>
    <w:rsid w:val="009763ED"/>
    <w:rsid w:val="00976F04"/>
    <w:rsid w:val="009777F4"/>
    <w:rsid w:val="00977AD8"/>
    <w:rsid w:val="00980A10"/>
    <w:rsid w:val="00981130"/>
    <w:rsid w:val="0098289D"/>
    <w:rsid w:val="009835E0"/>
    <w:rsid w:val="00983D46"/>
    <w:rsid w:val="00983DCA"/>
    <w:rsid w:val="00985EF7"/>
    <w:rsid w:val="00986093"/>
    <w:rsid w:val="00986146"/>
    <w:rsid w:val="00986CF9"/>
    <w:rsid w:val="00987416"/>
    <w:rsid w:val="00990C0E"/>
    <w:rsid w:val="00990D75"/>
    <w:rsid w:val="00991093"/>
    <w:rsid w:val="0099163B"/>
    <w:rsid w:val="00992343"/>
    <w:rsid w:val="009938B1"/>
    <w:rsid w:val="00996258"/>
    <w:rsid w:val="00996306"/>
    <w:rsid w:val="00996744"/>
    <w:rsid w:val="00997CF4"/>
    <w:rsid w:val="009A1169"/>
    <w:rsid w:val="009A164C"/>
    <w:rsid w:val="009A1AAC"/>
    <w:rsid w:val="009A2BB5"/>
    <w:rsid w:val="009A2CB8"/>
    <w:rsid w:val="009A3789"/>
    <w:rsid w:val="009A45A2"/>
    <w:rsid w:val="009A6919"/>
    <w:rsid w:val="009A6A14"/>
    <w:rsid w:val="009A6AC7"/>
    <w:rsid w:val="009B0408"/>
    <w:rsid w:val="009B0843"/>
    <w:rsid w:val="009B0DEE"/>
    <w:rsid w:val="009B1335"/>
    <w:rsid w:val="009B176D"/>
    <w:rsid w:val="009B1E47"/>
    <w:rsid w:val="009B2CED"/>
    <w:rsid w:val="009B3054"/>
    <w:rsid w:val="009B335D"/>
    <w:rsid w:val="009B3C90"/>
    <w:rsid w:val="009B4FA2"/>
    <w:rsid w:val="009B76E3"/>
    <w:rsid w:val="009B7A72"/>
    <w:rsid w:val="009B7BB8"/>
    <w:rsid w:val="009C0E9B"/>
    <w:rsid w:val="009C126A"/>
    <w:rsid w:val="009C1D4C"/>
    <w:rsid w:val="009C2616"/>
    <w:rsid w:val="009C2963"/>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2798"/>
    <w:rsid w:val="00A13A09"/>
    <w:rsid w:val="00A153BE"/>
    <w:rsid w:val="00A15DEE"/>
    <w:rsid w:val="00A16462"/>
    <w:rsid w:val="00A167B5"/>
    <w:rsid w:val="00A168DC"/>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344"/>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A70"/>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47C"/>
    <w:rsid w:val="00AA25A9"/>
    <w:rsid w:val="00AA26D9"/>
    <w:rsid w:val="00AA4605"/>
    <w:rsid w:val="00AA51AD"/>
    <w:rsid w:val="00AA591E"/>
    <w:rsid w:val="00AA5DF4"/>
    <w:rsid w:val="00AA65C9"/>
    <w:rsid w:val="00AA66CB"/>
    <w:rsid w:val="00AA7871"/>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E2D"/>
    <w:rsid w:val="00AD7FCD"/>
    <w:rsid w:val="00AE2BED"/>
    <w:rsid w:val="00AE3DE1"/>
    <w:rsid w:val="00AE5439"/>
    <w:rsid w:val="00AE61B2"/>
    <w:rsid w:val="00AE78D1"/>
    <w:rsid w:val="00AE7F89"/>
    <w:rsid w:val="00AF2D54"/>
    <w:rsid w:val="00AF3458"/>
    <w:rsid w:val="00AF3F7B"/>
    <w:rsid w:val="00AF42B4"/>
    <w:rsid w:val="00AF48A0"/>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8E6"/>
    <w:rsid w:val="00B15B89"/>
    <w:rsid w:val="00B1746F"/>
    <w:rsid w:val="00B20725"/>
    <w:rsid w:val="00B2087E"/>
    <w:rsid w:val="00B20B11"/>
    <w:rsid w:val="00B20B94"/>
    <w:rsid w:val="00B21C2C"/>
    <w:rsid w:val="00B248D0"/>
    <w:rsid w:val="00B2628E"/>
    <w:rsid w:val="00B266B0"/>
    <w:rsid w:val="00B27921"/>
    <w:rsid w:val="00B3000E"/>
    <w:rsid w:val="00B326A8"/>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6594"/>
    <w:rsid w:val="00B67805"/>
    <w:rsid w:val="00B721CD"/>
    <w:rsid w:val="00B7267A"/>
    <w:rsid w:val="00B726FF"/>
    <w:rsid w:val="00B72A5B"/>
    <w:rsid w:val="00B72AA4"/>
    <w:rsid w:val="00B75454"/>
    <w:rsid w:val="00B76BCD"/>
    <w:rsid w:val="00B76EE9"/>
    <w:rsid w:val="00B77231"/>
    <w:rsid w:val="00B77880"/>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872"/>
    <w:rsid w:val="00BA1913"/>
    <w:rsid w:val="00BA2BC9"/>
    <w:rsid w:val="00BA4641"/>
    <w:rsid w:val="00BA4A54"/>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0012"/>
    <w:rsid w:val="00BD2F13"/>
    <w:rsid w:val="00BD3056"/>
    <w:rsid w:val="00BD3846"/>
    <w:rsid w:val="00BD3E68"/>
    <w:rsid w:val="00BD4E05"/>
    <w:rsid w:val="00BD598A"/>
    <w:rsid w:val="00BD5C7A"/>
    <w:rsid w:val="00BD723F"/>
    <w:rsid w:val="00BD7262"/>
    <w:rsid w:val="00BD75B4"/>
    <w:rsid w:val="00BD7D14"/>
    <w:rsid w:val="00BE02B4"/>
    <w:rsid w:val="00BE28C1"/>
    <w:rsid w:val="00BE3492"/>
    <w:rsid w:val="00BE4EC9"/>
    <w:rsid w:val="00BE631E"/>
    <w:rsid w:val="00BE6BEC"/>
    <w:rsid w:val="00BF0CCF"/>
    <w:rsid w:val="00BF0ED3"/>
    <w:rsid w:val="00BF0FC5"/>
    <w:rsid w:val="00BF10BC"/>
    <w:rsid w:val="00BF21AC"/>
    <w:rsid w:val="00BF2E53"/>
    <w:rsid w:val="00BF352A"/>
    <w:rsid w:val="00BF3669"/>
    <w:rsid w:val="00BF38E7"/>
    <w:rsid w:val="00BF3C0D"/>
    <w:rsid w:val="00BF6252"/>
    <w:rsid w:val="00BF711C"/>
    <w:rsid w:val="00BF748E"/>
    <w:rsid w:val="00BF789B"/>
    <w:rsid w:val="00C03309"/>
    <w:rsid w:val="00C037E0"/>
    <w:rsid w:val="00C072FE"/>
    <w:rsid w:val="00C11ADE"/>
    <w:rsid w:val="00C126E0"/>
    <w:rsid w:val="00C12E39"/>
    <w:rsid w:val="00C13D47"/>
    <w:rsid w:val="00C14164"/>
    <w:rsid w:val="00C14C53"/>
    <w:rsid w:val="00C15D8E"/>
    <w:rsid w:val="00C17012"/>
    <w:rsid w:val="00C178FB"/>
    <w:rsid w:val="00C17DF9"/>
    <w:rsid w:val="00C201EB"/>
    <w:rsid w:val="00C20ACC"/>
    <w:rsid w:val="00C22B28"/>
    <w:rsid w:val="00C257B7"/>
    <w:rsid w:val="00C272E8"/>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961"/>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6A5"/>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A7E3E"/>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5F9E"/>
    <w:rsid w:val="00CD761D"/>
    <w:rsid w:val="00CD76B5"/>
    <w:rsid w:val="00CD78B9"/>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12325"/>
    <w:rsid w:val="00D12761"/>
    <w:rsid w:val="00D14487"/>
    <w:rsid w:val="00D14E3C"/>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EB8"/>
    <w:rsid w:val="00D43D3C"/>
    <w:rsid w:val="00D43E0B"/>
    <w:rsid w:val="00D441E2"/>
    <w:rsid w:val="00D44932"/>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5D78"/>
    <w:rsid w:val="00D66B04"/>
    <w:rsid w:val="00D67BC5"/>
    <w:rsid w:val="00D7021B"/>
    <w:rsid w:val="00D70D33"/>
    <w:rsid w:val="00D71862"/>
    <w:rsid w:val="00D71E7F"/>
    <w:rsid w:val="00D71FBA"/>
    <w:rsid w:val="00D72252"/>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B7D8D"/>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2CC8"/>
    <w:rsid w:val="00DE3DBB"/>
    <w:rsid w:val="00DE43A2"/>
    <w:rsid w:val="00DE4A74"/>
    <w:rsid w:val="00DE4B05"/>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715"/>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5679"/>
    <w:rsid w:val="00E37BE5"/>
    <w:rsid w:val="00E40A34"/>
    <w:rsid w:val="00E41A27"/>
    <w:rsid w:val="00E41AB4"/>
    <w:rsid w:val="00E42737"/>
    <w:rsid w:val="00E44906"/>
    <w:rsid w:val="00E45C77"/>
    <w:rsid w:val="00E4608B"/>
    <w:rsid w:val="00E46D7F"/>
    <w:rsid w:val="00E501D3"/>
    <w:rsid w:val="00E53A01"/>
    <w:rsid w:val="00E5540B"/>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D43"/>
    <w:rsid w:val="00EA4C04"/>
    <w:rsid w:val="00EA4EC9"/>
    <w:rsid w:val="00EA543D"/>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477D"/>
    <w:rsid w:val="00EE5A27"/>
    <w:rsid w:val="00EE6E77"/>
    <w:rsid w:val="00EE76A9"/>
    <w:rsid w:val="00EE799E"/>
    <w:rsid w:val="00EE7CA8"/>
    <w:rsid w:val="00EE7FA7"/>
    <w:rsid w:val="00EF0322"/>
    <w:rsid w:val="00EF1093"/>
    <w:rsid w:val="00EF1FCB"/>
    <w:rsid w:val="00EF21C3"/>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33EF"/>
    <w:rsid w:val="00F242AD"/>
    <w:rsid w:val="00F247F2"/>
    <w:rsid w:val="00F2518F"/>
    <w:rsid w:val="00F252A8"/>
    <w:rsid w:val="00F265F7"/>
    <w:rsid w:val="00F27FA6"/>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57CF"/>
    <w:rsid w:val="00F65808"/>
    <w:rsid w:val="00F6587D"/>
    <w:rsid w:val="00F66A00"/>
    <w:rsid w:val="00F66CFB"/>
    <w:rsid w:val="00F70C73"/>
    <w:rsid w:val="00F713A3"/>
    <w:rsid w:val="00F71A8F"/>
    <w:rsid w:val="00F75330"/>
    <w:rsid w:val="00F75B66"/>
    <w:rsid w:val="00F76254"/>
    <w:rsid w:val="00F76BD9"/>
    <w:rsid w:val="00F80318"/>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2B41"/>
    <w:rsid w:val="00F9397A"/>
    <w:rsid w:val="00F93A37"/>
    <w:rsid w:val="00F94182"/>
    <w:rsid w:val="00F9431F"/>
    <w:rsid w:val="00F944D9"/>
    <w:rsid w:val="00F94DB3"/>
    <w:rsid w:val="00F95BD0"/>
    <w:rsid w:val="00F96500"/>
    <w:rsid w:val="00FA31E7"/>
    <w:rsid w:val="00FA413A"/>
    <w:rsid w:val="00FA4144"/>
    <w:rsid w:val="00FA4DDF"/>
    <w:rsid w:val="00FA645E"/>
    <w:rsid w:val="00FA6E7F"/>
    <w:rsid w:val="00FA7114"/>
    <w:rsid w:val="00FB052D"/>
    <w:rsid w:val="00FB22D7"/>
    <w:rsid w:val="00FB2379"/>
    <w:rsid w:val="00FB3CB7"/>
    <w:rsid w:val="00FB4B8A"/>
    <w:rsid w:val="00FB5152"/>
    <w:rsid w:val="00FB5E1E"/>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1923056">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0056223">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2071785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0911806">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43550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tsg_ran/TSG_RAN/TSGR_81/Docs/RP-182076.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tsg_ran/TSG_RAN/TSGR_81/Docs/RP-18208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5AIRPNAIUNRU-1830940522-4897</_dlc_DocId>
    <_dlc_DocIdUrl xmlns="71c5aaf6-e6ce-465b-b873-5148d2a4c105">
      <Url>https://nokia.sharepoint.com/sites/c5g/5gradio/_layouts/15/DocIdRedir.aspx?ID=5AIRPNAIUNRU-1830940522-4897</Url>
      <Description>5AIRPNAIUNRU-1830940522-4897</Description>
    </_dlc_DocIdUrl>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75AE46C1-5939-424B-9C3C-66BF1C4F6A82}">
  <ds:schemaRefs>
    <ds:schemaRef ds:uri="http://schemas.microsoft.com/office/2006/documentManagement/types"/>
    <ds:schemaRef ds:uri="95d2e41d-1f11-4347-bb1c-11d6a32975dd"/>
    <ds:schemaRef ds:uri="http://purl.org/dc/elements/1.1/"/>
    <ds:schemaRef ds:uri="http://purl.org/dc/dcmitype/"/>
    <ds:schemaRef ds:uri="http://schemas.microsoft.com/office/infopath/2007/PartnerControls"/>
    <ds:schemaRef ds:uri="http://schemas.openxmlformats.org/package/2006/metadata/core-properties"/>
    <ds:schemaRef ds:uri="ebabf6ce-2443-438c-9946-ecc878e7654a"/>
    <ds:schemaRef ds:uri="http://purl.org/dc/terms/"/>
    <ds:schemaRef ds:uri="http://schemas.microsoft.com/office/2006/metadata/properties"/>
    <ds:schemaRef ds:uri="3b34c8f0-1ef5-4d1e-bb66-517ce7fe7356"/>
    <ds:schemaRef ds:uri="71c5aaf6-e6ce-465b-b873-5148d2a4c105"/>
    <ds:schemaRef ds:uri="http://www.w3.org/XML/1998/namespace"/>
  </ds:schemaRefs>
</ds:datastoreItem>
</file>

<file path=customXml/itemProps4.xml><?xml version="1.0" encoding="utf-8"?>
<ds:datastoreItem xmlns:ds="http://schemas.openxmlformats.org/officeDocument/2006/customXml" ds:itemID="{DC94B82E-A914-419C-B73B-6316E64A04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65E3EE5C-145C-43FC-985C-D6737B300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3</Pages>
  <Words>1327</Words>
  <Characters>7567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8877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2</cp:revision>
  <cp:lastPrinted>2016-06-20T11:35:00Z</cp:lastPrinted>
  <dcterms:created xsi:type="dcterms:W3CDTF">2019-02-15T20:05:00Z</dcterms:created>
  <dcterms:modified xsi:type="dcterms:W3CDTF">2019-02-15T20:05:00Z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6b7cfecb-f44a-4886-bdf4-9d490e2e9447</vt:lpwstr>
  </property>
  <property fmtid="{D5CDD505-2E9C-101B-9397-08002B2CF9AE}" pid="9" name="AuthorIds_UIVersion_2560">
    <vt:lpwstr>648</vt:lpwstr>
  </property>
</Properties>
</file>